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38B70">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辽宁何氏医学院校园环境消杀项目</w:t>
      </w:r>
    </w:p>
    <w:p w14:paraId="76D598B8">
      <w:pPr>
        <w:widowControl/>
        <w:shd w:val="clear" w:color="auto" w:fill="FFFFFF"/>
        <w:tabs>
          <w:tab w:val="center" w:pos="5200"/>
          <w:tab w:val="left" w:pos="9172"/>
        </w:tabs>
        <w:spacing w:line="500" w:lineRule="atLeast"/>
        <w:jc w:val="left"/>
        <w:outlineLvl w:val="3"/>
        <w:rPr>
          <w:rFonts w:hint="eastAsia" w:ascii="宋体" w:hAnsi="宋体" w:cs="宋体"/>
          <w:b/>
          <w:bCs/>
          <w:sz w:val="32"/>
          <w:szCs w:val="32"/>
          <w:lang w:val="en-US" w:eastAsia="zh-CN"/>
        </w:rPr>
      </w:pPr>
      <w:r>
        <w:rPr>
          <w:rFonts w:hint="eastAsia" w:ascii="宋体" w:hAnsi="宋体" w:cs="宋体"/>
          <w:b/>
          <w:bCs/>
          <w:sz w:val="32"/>
          <w:szCs w:val="32"/>
          <w:lang w:val="en-US" w:eastAsia="zh-CN"/>
        </w:rPr>
        <w:tab/>
      </w:r>
      <w:r>
        <w:rPr>
          <w:rFonts w:hint="eastAsia" w:ascii="宋体" w:hAnsi="宋体" w:eastAsia="宋体" w:cs="宋体"/>
          <w:b/>
          <w:bCs/>
          <w:sz w:val="32"/>
          <w:szCs w:val="32"/>
          <w:lang w:val="en-US" w:eastAsia="zh-CN"/>
        </w:rPr>
        <w:t>询比价</w:t>
      </w:r>
      <w:r>
        <w:rPr>
          <w:rFonts w:hint="eastAsia" w:ascii="宋体" w:hAnsi="宋体" w:cs="宋体"/>
          <w:b/>
          <w:bCs/>
          <w:sz w:val="32"/>
          <w:szCs w:val="32"/>
          <w:lang w:val="en-US" w:eastAsia="zh-CN"/>
        </w:rPr>
        <w:t>文件</w:t>
      </w:r>
      <w:r>
        <w:rPr>
          <w:rFonts w:hint="eastAsia" w:ascii="宋体" w:hAnsi="宋体" w:cs="宋体"/>
          <w:b/>
          <w:bCs/>
          <w:sz w:val="32"/>
          <w:szCs w:val="32"/>
          <w:lang w:val="en-US" w:eastAsia="zh-CN"/>
        </w:rPr>
        <w:tab/>
      </w:r>
    </w:p>
    <w:p w14:paraId="71E53DB6">
      <w:pPr>
        <w:pStyle w:val="9"/>
        <w:ind w:left="0" w:leftChars="0" w:firstLine="0" w:firstLineChars="0"/>
        <w:rPr>
          <w:rFonts w:hint="default"/>
          <w:sz w:val="28"/>
          <w:szCs w:val="28"/>
          <w:lang w:val="en-US" w:eastAsia="zh-CN"/>
        </w:rPr>
      </w:pPr>
      <w:r>
        <w:rPr>
          <w:rFonts w:hint="eastAsia" w:ascii="宋体" w:hAnsi="宋体" w:cs="宋体"/>
          <w:b/>
          <w:bCs/>
          <w:sz w:val="28"/>
          <w:szCs w:val="28"/>
          <w:lang w:val="en-US" w:eastAsia="zh-CN"/>
        </w:rPr>
        <w:t>（一）项目需求</w:t>
      </w:r>
    </w:p>
    <w:p w14:paraId="05D57318">
      <w:pPr>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一、项目概述</w:t>
      </w:r>
    </w:p>
    <w:p w14:paraId="3D19F1BE">
      <w:pPr>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为保障校园环境卫生，防止病媒生物传播疾病，现对校园外环境及食堂区域开展“除四害”及有害生物消杀服务。</w:t>
      </w:r>
    </w:p>
    <w:p w14:paraId="1562B077">
      <w:pPr>
        <w:widowControl/>
        <w:shd w:val="clear" w:color="auto" w:fill="FFFFFF"/>
        <w:spacing w:line="360" w:lineRule="auto"/>
        <w:jc w:val="left"/>
        <w:rPr>
          <w:rFonts w:hint="eastAsia" w:ascii="宋体" w:hAnsi="宋体" w:eastAsia="宋体" w:cs="宋体"/>
          <w:b w:val="0"/>
          <w:bCs w:val="0"/>
          <w:color w:val="0F1115"/>
          <w:kern w:val="0"/>
          <w:sz w:val="22"/>
          <w:szCs w:val="22"/>
        </w:rPr>
      </w:pPr>
      <w:r>
        <w:rPr>
          <w:rFonts w:hint="eastAsia" w:ascii="宋体" w:hAnsi="宋体" w:eastAsia="宋体" w:cs="宋体"/>
          <w:b w:val="0"/>
          <w:bCs w:val="0"/>
          <w:sz w:val="22"/>
          <w:szCs w:val="22"/>
        </w:rPr>
        <w:t>二、服务地点</w:t>
      </w:r>
    </w:p>
    <w:p w14:paraId="6E776B1D">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1、辽宁何氏医学院校区（泗水街66号）</w:t>
      </w:r>
    </w:p>
    <w:p w14:paraId="75C27A95">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2、绿谷眼产业（泗水街66号）</w:t>
      </w:r>
    </w:p>
    <w:p w14:paraId="4A8FA8DD">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3、辽宁何氏医学院新校区（77-1号；77-2号）</w:t>
      </w:r>
    </w:p>
    <w:p w14:paraId="738185EB">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4、辽宁何氏医学院新校区（2-2；2-3）</w:t>
      </w:r>
    </w:p>
    <w:p w14:paraId="294DECD8">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5、绿谷危险品库房存放处</w:t>
      </w:r>
    </w:p>
    <w:p w14:paraId="65927FC0">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三、服务内容</w:t>
      </w:r>
    </w:p>
    <w:p w14:paraId="7A66A809">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（一）校园内外环境“除四害”消杀服务</w:t>
      </w:r>
    </w:p>
    <w:p w14:paraId="2D7E2D5E">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1.灭蚊、灭鼠、灭苍蝇、灭蟑螂及其他有害生物。</w:t>
      </w:r>
    </w:p>
    <w:p w14:paraId="2DDF79DB">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2.开展越冬蟑类、蚊蝇类虫卵的熏杀工作。</w:t>
      </w:r>
    </w:p>
    <w:p w14:paraId="17D6105A">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3.灭鼠：对校区内公共环境进行药物灭鼠，按标准设置鼠盒、投放点，及时封堵鼠洞，清理鼠迹、鼠粪。服务期间应检查所有通向室内的通道，对各类管道缝隙、废弃孔洞等进行严密堵塞，并做好记录。</w:t>
      </w:r>
    </w:p>
    <w:p w14:paraId="09CBD4F0">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4.灭蟑螂：对沙井、下水道、化粪池等区域进行药物灭蟑，并及时清理蟑迹。</w:t>
      </w:r>
    </w:p>
    <w:p w14:paraId="12D2C296">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5.灭蚊、灭苍蝇：季节性喷洒药物，清除积水（蚊虫孑孓），清理蚊蝇滋生地。</w:t>
      </w:r>
    </w:p>
    <w:p w14:paraId="7D722139">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（二）食堂室内环境消杀</w:t>
      </w:r>
    </w:p>
    <w:p w14:paraId="1213D5AC">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对主校区及北校区食堂内部开展鼠类、蝇类、蟑螂、蚊子等有害生物的全面消杀。</w:t>
      </w:r>
    </w:p>
    <w:p w14:paraId="660CCC81">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（三）其他校内有害生物消杀</w:t>
      </w:r>
    </w:p>
    <w:p w14:paraId="22D0DB3D">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控制校内各类飞虫及爬虫（对校园环境或师生有危害的虫类）；在发现害虫区域及时进行药物处理。</w:t>
      </w:r>
    </w:p>
    <w:p w14:paraId="117BDC1C">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（四）垃圾中转站消杀</w:t>
      </w:r>
    </w:p>
    <w:p w14:paraId="7EB03EDD">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对垃圾中转站及周边环境进行蚊、蝇等有害生物的消杀。</w:t>
      </w:r>
    </w:p>
    <w:p w14:paraId="0805D9BC">
      <w:pPr>
        <w:adjustRightInd w:val="0"/>
        <w:snapToGrid w:val="0"/>
        <w:spacing w:line="360" w:lineRule="auto"/>
        <w:rPr>
          <w:rFonts w:hint="eastAsia" w:ascii="宋体" w:hAnsi="宋体" w:eastAsia="宋体" w:cs="宋体"/>
          <w:b w:val="0"/>
          <w:bCs w:val="0"/>
          <w:sz w:val="22"/>
          <w:szCs w:val="22"/>
        </w:rPr>
      </w:pPr>
      <w:r>
        <w:rPr>
          <w:rFonts w:hint="eastAsia" w:ascii="宋体" w:hAnsi="宋体" w:eastAsia="宋体" w:cs="宋体"/>
          <w:b w:val="0"/>
          <w:bCs w:val="0"/>
          <w:sz w:val="22"/>
          <w:szCs w:val="22"/>
        </w:rPr>
        <w:t>（五）综合控制</w:t>
      </w:r>
    </w:p>
    <w:p w14:paraId="75B0A444">
      <w:pPr>
        <w:adjustRightInd w:val="0"/>
        <w:snapToGrid w:val="0"/>
        <w:spacing w:line="360" w:lineRule="auto"/>
        <w:rPr>
          <w:rFonts w:hint="eastAsia" w:ascii="宋体" w:hAnsi="宋体" w:eastAsia="宋体" w:cs="宋体"/>
          <w:b w:val="0"/>
          <w:bCs w:val="0"/>
          <w:kern w:val="0"/>
          <w:sz w:val="22"/>
          <w:szCs w:val="22"/>
        </w:rPr>
      </w:pPr>
      <w:r>
        <w:rPr>
          <w:rFonts w:hint="eastAsia" w:ascii="宋体" w:hAnsi="宋体" w:eastAsia="宋体" w:cs="宋体"/>
          <w:b w:val="0"/>
          <w:bCs w:val="0"/>
          <w:sz w:val="22"/>
          <w:szCs w:val="22"/>
        </w:rPr>
        <w:t>根据现场实际情况，科学开展校园灭鼠及“除四害”控制工作。</w:t>
      </w:r>
    </w:p>
    <w:p w14:paraId="04E59186">
      <w:pPr>
        <w:adjustRightInd w:val="0"/>
        <w:snapToGrid w:val="0"/>
        <w:spacing w:line="360" w:lineRule="auto"/>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四、消杀时间及频次：</w:t>
      </w:r>
    </w:p>
    <w:tbl>
      <w:tblPr>
        <w:tblStyle w:val="4"/>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603"/>
        <w:gridCol w:w="3097"/>
        <w:gridCol w:w="1535"/>
        <w:gridCol w:w="3310"/>
      </w:tblGrid>
      <w:tr w14:paraId="559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6" w:hRule="atLeast"/>
          <w:tblHeader/>
        </w:trPr>
        <w:tc>
          <w:tcPr>
            <w:tcW w:w="0" w:type="auto"/>
            <w:shd w:val="clear" w:color="auto" w:fill="FFFFFF"/>
            <w:noWrap w:val="0"/>
            <w:tcMar>
              <w:top w:w="150" w:type="dxa"/>
              <w:left w:w="0" w:type="dxa"/>
              <w:bottom w:w="150" w:type="dxa"/>
              <w:right w:w="240" w:type="dxa"/>
            </w:tcMar>
            <w:vAlign w:val="center"/>
          </w:tcPr>
          <w:p w14:paraId="12E8F433">
            <w:pPr>
              <w:widowControl/>
              <w:spacing w:line="240" w:lineRule="auto"/>
              <w:jc w:val="center"/>
              <w:rPr>
                <w:rFonts w:ascii="Segoe UI" w:hAnsi="Segoe UI" w:eastAsia="宋体" w:cs="Segoe UI"/>
                <w:b/>
                <w:bCs/>
                <w:color w:val="0F1115"/>
                <w:kern w:val="0"/>
                <w:sz w:val="22"/>
                <w:szCs w:val="22"/>
              </w:rPr>
            </w:pPr>
            <w:r>
              <w:rPr>
                <w:rFonts w:ascii="Segoe UI" w:hAnsi="Segoe UI" w:eastAsia="宋体" w:cs="Segoe UI"/>
                <w:b/>
                <w:bCs/>
                <w:color w:val="0F1115"/>
                <w:kern w:val="0"/>
                <w:sz w:val="22"/>
                <w:szCs w:val="22"/>
              </w:rPr>
              <w:t>服务区域</w:t>
            </w:r>
          </w:p>
        </w:tc>
        <w:tc>
          <w:tcPr>
            <w:tcW w:w="0" w:type="auto"/>
            <w:shd w:val="clear" w:color="auto" w:fill="FFFFFF"/>
            <w:noWrap w:val="0"/>
            <w:tcMar>
              <w:top w:w="150" w:type="dxa"/>
              <w:left w:w="240" w:type="dxa"/>
              <w:bottom w:w="150" w:type="dxa"/>
              <w:right w:w="240" w:type="dxa"/>
            </w:tcMar>
            <w:vAlign w:val="center"/>
          </w:tcPr>
          <w:p w14:paraId="2E929139">
            <w:pPr>
              <w:widowControl/>
              <w:spacing w:line="240" w:lineRule="auto"/>
              <w:jc w:val="center"/>
              <w:rPr>
                <w:rFonts w:ascii="Segoe UI" w:hAnsi="Segoe UI" w:eastAsia="宋体" w:cs="Segoe UI"/>
                <w:b/>
                <w:bCs/>
                <w:color w:val="0F1115"/>
                <w:kern w:val="0"/>
                <w:sz w:val="22"/>
                <w:szCs w:val="22"/>
              </w:rPr>
            </w:pPr>
            <w:r>
              <w:rPr>
                <w:rFonts w:ascii="Segoe UI" w:hAnsi="Segoe UI" w:eastAsia="宋体" w:cs="Segoe UI"/>
                <w:b/>
                <w:bCs/>
                <w:color w:val="0F1115"/>
                <w:kern w:val="0"/>
                <w:sz w:val="22"/>
                <w:szCs w:val="22"/>
              </w:rPr>
              <w:t>消杀频次</w:t>
            </w:r>
          </w:p>
        </w:tc>
        <w:tc>
          <w:tcPr>
            <w:tcW w:w="1535" w:type="dxa"/>
            <w:shd w:val="clear" w:color="auto" w:fill="FFFFFF"/>
            <w:noWrap w:val="0"/>
            <w:tcMar>
              <w:top w:w="150" w:type="dxa"/>
              <w:left w:w="240" w:type="dxa"/>
              <w:bottom w:w="150" w:type="dxa"/>
              <w:right w:w="240" w:type="dxa"/>
            </w:tcMar>
            <w:vAlign w:val="center"/>
          </w:tcPr>
          <w:p w14:paraId="789128A8">
            <w:pPr>
              <w:widowControl/>
              <w:spacing w:line="240" w:lineRule="auto"/>
              <w:jc w:val="center"/>
              <w:rPr>
                <w:rFonts w:ascii="Segoe UI" w:hAnsi="Segoe UI" w:eastAsia="宋体" w:cs="Segoe UI"/>
                <w:b/>
                <w:bCs/>
                <w:color w:val="0F1115"/>
                <w:kern w:val="0"/>
                <w:sz w:val="22"/>
                <w:szCs w:val="22"/>
              </w:rPr>
            </w:pPr>
            <w:r>
              <w:rPr>
                <w:rFonts w:ascii="Segoe UI" w:hAnsi="Segoe UI" w:eastAsia="宋体" w:cs="Segoe UI"/>
                <w:b/>
                <w:bCs/>
                <w:color w:val="0F1115"/>
                <w:kern w:val="0"/>
                <w:sz w:val="22"/>
                <w:szCs w:val="22"/>
              </w:rPr>
              <w:t>全年次数</w:t>
            </w:r>
          </w:p>
        </w:tc>
        <w:tc>
          <w:tcPr>
            <w:tcW w:w="3310" w:type="dxa"/>
            <w:shd w:val="clear" w:color="auto" w:fill="FFFFFF"/>
            <w:noWrap w:val="0"/>
            <w:tcMar>
              <w:top w:w="150" w:type="dxa"/>
              <w:left w:w="240" w:type="dxa"/>
              <w:bottom w:w="150" w:type="dxa"/>
              <w:right w:w="240" w:type="dxa"/>
            </w:tcMar>
            <w:vAlign w:val="center"/>
          </w:tcPr>
          <w:p w14:paraId="312D2BFE">
            <w:pPr>
              <w:widowControl/>
              <w:spacing w:line="240" w:lineRule="auto"/>
              <w:jc w:val="center"/>
              <w:rPr>
                <w:rFonts w:ascii="Segoe UI" w:hAnsi="Segoe UI" w:eastAsia="宋体" w:cs="Segoe UI"/>
                <w:b/>
                <w:bCs/>
                <w:color w:val="0F1115"/>
                <w:kern w:val="0"/>
                <w:sz w:val="22"/>
                <w:szCs w:val="22"/>
              </w:rPr>
            </w:pPr>
            <w:r>
              <w:rPr>
                <w:rFonts w:ascii="Segoe UI" w:hAnsi="Segoe UI" w:eastAsia="宋体" w:cs="Segoe UI"/>
                <w:b/>
                <w:bCs/>
                <w:color w:val="0F1115"/>
                <w:kern w:val="0"/>
                <w:sz w:val="22"/>
                <w:szCs w:val="22"/>
              </w:rPr>
              <w:t>备注</w:t>
            </w:r>
          </w:p>
        </w:tc>
      </w:tr>
      <w:tr w14:paraId="1808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6" w:hRule="atLeast"/>
        </w:trPr>
        <w:tc>
          <w:tcPr>
            <w:tcW w:w="0" w:type="auto"/>
            <w:shd w:val="clear" w:color="auto" w:fill="FFFFFF"/>
            <w:noWrap w:val="0"/>
            <w:tcMar>
              <w:top w:w="150" w:type="dxa"/>
              <w:left w:w="0" w:type="dxa"/>
              <w:bottom w:w="150" w:type="dxa"/>
              <w:right w:w="240" w:type="dxa"/>
            </w:tcMar>
            <w:vAlign w:val="center"/>
          </w:tcPr>
          <w:p w14:paraId="36E877D3">
            <w:pPr>
              <w:widowControl/>
              <w:spacing w:line="240" w:lineRule="auto"/>
              <w:jc w:val="center"/>
              <w:rPr>
                <w:rFonts w:ascii="Segoe UI" w:hAnsi="Segoe UI" w:eastAsia="宋体" w:cs="Segoe UI"/>
                <w:color w:val="0F1115"/>
                <w:kern w:val="0"/>
                <w:sz w:val="22"/>
                <w:szCs w:val="22"/>
                <w:highlight w:val="none"/>
              </w:rPr>
            </w:pPr>
            <w:r>
              <w:rPr>
                <w:rFonts w:ascii="Segoe UI" w:hAnsi="Segoe UI" w:eastAsia="宋体" w:cs="Segoe UI"/>
                <w:color w:val="0F1115"/>
                <w:kern w:val="0"/>
                <w:sz w:val="22"/>
                <w:szCs w:val="22"/>
                <w:highlight w:val="none"/>
              </w:rPr>
              <w:t>校园内外环境</w:t>
            </w:r>
          </w:p>
        </w:tc>
        <w:tc>
          <w:tcPr>
            <w:tcW w:w="0" w:type="auto"/>
            <w:shd w:val="clear" w:color="auto" w:fill="FFFFFF"/>
            <w:noWrap w:val="0"/>
            <w:tcMar>
              <w:top w:w="150" w:type="dxa"/>
              <w:left w:w="240" w:type="dxa"/>
              <w:bottom w:w="150" w:type="dxa"/>
              <w:right w:w="240" w:type="dxa"/>
            </w:tcMar>
            <w:vAlign w:val="center"/>
          </w:tcPr>
          <w:p w14:paraId="1534F863">
            <w:pPr>
              <w:widowControl/>
              <w:spacing w:line="240" w:lineRule="auto"/>
              <w:jc w:val="center"/>
              <w:rPr>
                <w:rFonts w:ascii="Segoe UI" w:hAnsi="Segoe UI" w:eastAsia="宋体" w:cs="Segoe UI"/>
                <w:color w:val="0F1115"/>
                <w:kern w:val="0"/>
                <w:sz w:val="22"/>
                <w:szCs w:val="22"/>
                <w:highlight w:val="none"/>
              </w:rPr>
            </w:pPr>
            <w:r>
              <w:rPr>
                <w:rFonts w:hint="eastAsia" w:ascii="Segoe UI" w:hAnsi="Segoe UI" w:eastAsia="宋体" w:cs="Segoe UI"/>
                <w:color w:val="auto"/>
                <w:kern w:val="0"/>
                <w:sz w:val="22"/>
                <w:szCs w:val="22"/>
                <w:highlight w:val="none"/>
              </w:rPr>
              <w:t>两个月1次</w:t>
            </w:r>
          </w:p>
        </w:tc>
        <w:tc>
          <w:tcPr>
            <w:tcW w:w="1535" w:type="dxa"/>
            <w:shd w:val="clear" w:color="auto" w:fill="FFFFFF"/>
            <w:noWrap w:val="0"/>
            <w:tcMar>
              <w:top w:w="150" w:type="dxa"/>
              <w:left w:w="240" w:type="dxa"/>
              <w:bottom w:w="150" w:type="dxa"/>
              <w:right w:w="240" w:type="dxa"/>
            </w:tcMar>
            <w:vAlign w:val="center"/>
          </w:tcPr>
          <w:p w14:paraId="04FB6A7D">
            <w:pPr>
              <w:widowControl/>
              <w:spacing w:line="240" w:lineRule="auto"/>
              <w:jc w:val="center"/>
              <w:rPr>
                <w:rFonts w:ascii="Segoe UI" w:hAnsi="Segoe UI" w:eastAsia="宋体" w:cs="Segoe UI"/>
                <w:color w:val="0F1115"/>
                <w:kern w:val="0"/>
                <w:sz w:val="22"/>
                <w:szCs w:val="22"/>
                <w:highlight w:val="none"/>
              </w:rPr>
            </w:pPr>
            <w:r>
              <w:rPr>
                <w:rFonts w:ascii="Segoe UI" w:hAnsi="Segoe UI" w:eastAsia="宋体" w:cs="Segoe UI"/>
                <w:color w:val="0F1115"/>
                <w:kern w:val="0"/>
                <w:sz w:val="22"/>
                <w:szCs w:val="22"/>
                <w:highlight w:val="none"/>
              </w:rPr>
              <w:t>共6次</w:t>
            </w:r>
          </w:p>
        </w:tc>
        <w:tc>
          <w:tcPr>
            <w:tcW w:w="3310" w:type="dxa"/>
            <w:shd w:val="clear" w:color="auto" w:fill="FFFFFF"/>
            <w:noWrap w:val="0"/>
            <w:tcMar>
              <w:top w:w="150" w:type="dxa"/>
              <w:left w:w="240" w:type="dxa"/>
              <w:bottom w:w="150" w:type="dxa"/>
              <w:right w:w="0" w:type="dxa"/>
            </w:tcMar>
            <w:vAlign w:val="center"/>
          </w:tcPr>
          <w:p w14:paraId="5AE5D5C7">
            <w:pPr>
              <w:widowControl/>
              <w:spacing w:line="240" w:lineRule="auto"/>
              <w:jc w:val="center"/>
              <w:rPr>
                <w:rFonts w:ascii="Segoe UI" w:hAnsi="Segoe UI" w:eastAsia="宋体" w:cs="Segoe UI"/>
                <w:color w:val="0F1115"/>
                <w:kern w:val="0"/>
                <w:sz w:val="22"/>
                <w:szCs w:val="22"/>
                <w:highlight w:val="none"/>
              </w:rPr>
            </w:pPr>
            <w:r>
              <w:rPr>
                <w:rFonts w:ascii="Segoe UI" w:hAnsi="Segoe UI" w:eastAsia="宋体" w:cs="Segoe UI"/>
                <w:color w:val="0F1115"/>
                <w:kern w:val="0"/>
                <w:sz w:val="22"/>
                <w:szCs w:val="22"/>
                <w:highlight w:val="none"/>
              </w:rPr>
              <w:t>具体依消杀效果可增减；</w:t>
            </w:r>
          </w:p>
          <w:p w14:paraId="1DD3DE20">
            <w:pPr>
              <w:widowControl/>
              <w:spacing w:line="240" w:lineRule="auto"/>
              <w:jc w:val="center"/>
              <w:rPr>
                <w:rFonts w:ascii="Segoe UI" w:hAnsi="Segoe UI" w:eastAsia="宋体" w:cs="Segoe UI"/>
                <w:color w:val="0F1115"/>
                <w:kern w:val="0"/>
                <w:sz w:val="22"/>
                <w:szCs w:val="22"/>
                <w:highlight w:val="none"/>
              </w:rPr>
            </w:pPr>
            <w:r>
              <w:rPr>
                <w:rFonts w:ascii="Segoe UI" w:hAnsi="Segoe UI" w:eastAsia="宋体" w:cs="Segoe UI"/>
                <w:color w:val="0F1115"/>
                <w:kern w:val="0"/>
                <w:sz w:val="22"/>
                <w:szCs w:val="22"/>
                <w:highlight w:val="none"/>
              </w:rPr>
              <w:t>消杀点位约356处</w:t>
            </w:r>
          </w:p>
        </w:tc>
      </w:tr>
      <w:tr w14:paraId="25DF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6" w:hRule="atLeast"/>
        </w:trPr>
        <w:tc>
          <w:tcPr>
            <w:tcW w:w="0" w:type="auto"/>
            <w:shd w:val="clear" w:color="auto" w:fill="FFFFFF"/>
            <w:noWrap w:val="0"/>
            <w:tcMar>
              <w:top w:w="150" w:type="dxa"/>
              <w:left w:w="0" w:type="dxa"/>
              <w:bottom w:w="150" w:type="dxa"/>
              <w:right w:w="240" w:type="dxa"/>
            </w:tcMar>
            <w:vAlign w:val="center"/>
          </w:tcPr>
          <w:p w14:paraId="4B493364">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食堂（主校及北校区）</w:t>
            </w:r>
          </w:p>
        </w:tc>
        <w:tc>
          <w:tcPr>
            <w:tcW w:w="0" w:type="auto"/>
            <w:shd w:val="clear" w:color="auto" w:fill="FFFFFF"/>
            <w:noWrap w:val="0"/>
            <w:tcMar>
              <w:top w:w="150" w:type="dxa"/>
              <w:left w:w="240" w:type="dxa"/>
              <w:bottom w:w="150" w:type="dxa"/>
              <w:right w:w="240" w:type="dxa"/>
            </w:tcMar>
            <w:vAlign w:val="center"/>
          </w:tcPr>
          <w:p w14:paraId="1D2CE67E">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每月1次（不含寒暑假）</w:t>
            </w:r>
          </w:p>
        </w:tc>
        <w:tc>
          <w:tcPr>
            <w:tcW w:w="1535" w:type="dxa"/>
            <w:shd w:val="clear" w:color="auto" w:fill="FFFFFF"/>
            <w:noWrap w:val="0"/>
            <w:tcMar>
              <w:top w:w="150" w:type="dxa"/>
              <w:left w:w="240" w:type="dxa"/>
              <w:bottom w:w="150" w:type="dxa"/>
              <w:right w:w="240" w:type="dxa"/>
            </w:tcMar>
            <w:vAlign w:val="center"/>
          </w:tcPr>
          <w:p w14:paraId="43CE77ED">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共9次</w:t>
            </w:r>
          </w:p>
        </w:tc>
        <w:tc>
          <w:tcPr>
            <w:tcW w:w="3310" w:type="dxa"/>
            <w:shd w:val="clear" w:color="auto" w:fill="FFFFFF"/>
            <w:noWrap w:val="0"/>
            <w:tcMar>
              <w:top w:w="150" w:type="dxa"/>
              <w:left w:w="240" w:type="dxa"/>
              <w:bottom w:w="150" w:type="dxa"/>
              <w:right w:w="0" w:type="dxa"/>
            </w:tcMar>
            <w:vAlign w:val="center"/>
          </w:tcPr>
          <w:p w14:paraId="5C8DBD9C">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w:t>
            </w:r>
          </w:p>
        </w:tc>
      </w:tr>
      <w:tr w14:paraId="708F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06" w:hRule="atLeast"/>
        </w:trPr>
        <w:tc>
          <w:tcPr>
            <w:tcW w:w="0" w:type="auto"/>
            <w:shd w:val="clear" w:color="auto" w:fill="FFFFFF"/>
            <w:noWrap w:val="0"/>
            <w:tcMar>
              <w:top w:w="150" w:type="dxa"/>
              <w:left w:w="0" w:type="dxa"/>
              <w:bottom w:w="150" w:type="dxa"/>
              <w:right w:w="240" w:type="dxa"/>
            </w:tcMar>
            <w:vAlign w:val="center"/>
          </w:tcPr>
          <w:p w14:paraId="15B9B1CC">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特殊需求</w:t>
            </w:r>
          </w:p>
        </w:tc>
        <w:tc>
          <w:tcPr>
            <w:tcW w:w="0" w:type="auto"/>
            <w:shd w:val="clear" w:color="auto" w:fill="FFFFFF"/>
            <w:noWrap w:val="0"/>
            <w:tcMar>
              <w:top w:w="150" w:type="dxa"/>
              <w:left w:w="240" w:type="dxa"/>
              <w:bottom w:w="150" w:type="dxa"/>
              <w:right w:w="240" w:type="dxa"/>
            </w:tcMar>
            <w:vAlign w:val="center"/>
          </w:tcPr>
          <w:p w14:paraId="0FABE9B9">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电话通知后即时响应</w:t>
            </w:r>
          </w:p>
        </w:tc>
        <w:tc>
          <w:tcPr>
            <w:tcW w:w="1535" w:type="dxa"/>
            <w:shd w:val="clear" w:color="auto" w:fill="FFFFFF"/>
            <w:noWrap w:val="0"/>
            <w:tcMar>
              <w:top w:w="150" w:type="dxa"/>
              <w:left w:w="240" w:type="dxa"/>
              <w:bottom w:w="150" w:type="dxa"/>
              <w:right w:w="240" w:type="dxa"/>
            </w:tcMar>
            <w:vAlign w:val="center"/>
          </w:tcPr>
          <w:p w14:paraId="66D771A0">
            <w:pPr>
              <w:widowControl/>
              <w:spacing w:line="240" w:lineRule="auto"/>
              <w:jc w:val="center"/>
              <w:rPr>
                <w:rFonts w:ascii="Segoe UI" w:hAnsi="Segoe UI" w:eastAsia="宋体" w:cs="Segoe UI"/>
                <w:color w:val="0F1115"/>
                <w:kern w:val="0"/>
                <w:sz w:val="22"/>
                <w:szCs w:val="22"/>
              </w:rPr>
            </w:pPr>
            <w:r>
              <w:rPr>
                <w:rFonts w:ascii="Segoe UI" w:hAnsi="Segoe UI" w:eastAsia="宋体" w:cs="Segoe UI"/>
                <w:color w:val="0F1115"/>
                <w:kern w:val="0"/>
                <w:sz w:val="22"/>
                <w:szCs w:val="22"/>
              </w:rPr>
              <w:t>按需</w:t>
            </w:r>
          </w:p>
        </w:tc>
        <w:tc>
          <w:tcPr>
            <w:tcW w:w="3310" w:type="dxa"/>
            <w:shd w:val="clear" w:color="auto" w:fill="FFFFFF"/>
            <w:noWrap w:val="0"/>
            <w:tcMar>
              <w:top w:w="150" w:type="dxa"/>
              <w:left w:w="240" w:type="dxa"/>
              <w:bottom w:w="150" w:type="dxa"/>
              <w:right w:w="0" w:type="dxa"/>
            </w:tcMar>
            <w:vAlign w:val="center"/>
          </w:tcPr>
          <w:p w14:paraId="210F1B68">
            <w:pPr>
              <w:widowControl/>
              <w:spacing w:line="240" w:lineRule="auto"/>
              <w:jc w:val="center"/>
              <w:rPr>
                <w:rFonts w:ascii="Segoe UI" w:hAnsi="Segoe UI" w:eastAsia="宋体" w:cs="Segoe UI"/>
                <w:color w:val="0F1115"/>
                <w:kern w:val="0"/>
                <w:sz w:val="22"/>
                <w:szCs w:val="22"/>
              </w:rPr>
            </w:pPr>
          </w:p>
        </w:tc>
      </w:tr>
    </w:tbl>
    <w:p w14:paraId="796FB7B0">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五、技术要求</w:t>
      </w:r>
    </w:p>
    <w:p w14:paraId="0C430DCF">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标准合规：严格依照国家及省市爱卫办关于病媒生物预防控制效果现场评估的指导意见、《餐饮服务食品安全操作规范》等相关要求执行，确保服务期内病媒生物密度控制在达标范围内。不得因虫害原因导致校方出现客户投诉或政府部门的行政处罚。</w:t>
      </w:r>
    </w:p>
    <w:p w14:paraId="0BDB93A0">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药品环保安全：</w:t>
      </w:r>
    </w:p>
    <w:p w14:paraId="44A8DF1B">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所用消杀药剂必须环保，为国家允许使用的药剂，对人畜、食品无害，不污染环境。</w:t>
      </w:r>
    </w:p>
    <w:p w14:paraId="25330D7E">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室内、室外用药分开，药剂须具备“三证”（农药登记证、生产许可证、质量合格证）及相关检测报告。科学用药、安全施药，不得破坏学校及周边生态环境。</w:t>
      </w:r>
    </w:p>
    <w:p w14:paraId="015E3AE1">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食品防护：喷洒药剂时严禁喷溅到餐具、原材料及食品上，避免食物受到污染。</w:t>
      </w:r>
    </w:p>
    <w:p w14:paraId="1F64D542">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抗性管理：为避免害虫产生抗药性，应不定期轮换使用不同有效成分的药物。喷洒应全面、不留死角，根据天气、季节及蚊蝇滋生情况合理安排作业。效果不佳应及时补喷，确保最佳效果。</w:t>
      </w:r>
    </w:p>
    <w:p w14:paraId="5E1F301D">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禁用违禁药：严禁使用急性灭鼠药或其他明文禁用的药物。如因药物使用不当导致人畜中毒或其他责任事故，消杀方承担全部责任。</w:t>
      </w:r>
    </w:p>
    <w:p w14:paraId="1798A33D">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安全管理：消杀人员对所投放药物负有监管责任。裸露在外的药物必须设置明显警示标识。若未按规程操作导致事故，消杀方承担相应法律责任。</w:t>
      </w:r>
    </w:p>
    <w:p w14:paraId="46E715CA">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六、服务要求</w:t>
      </w:r>
    </w:p>
    <w:p w14:paraId="3E01C9B6">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作业规范：服务期内严格依照相关卫生工作条例及安全操作规程作业，制定详细的安全服务计划书。配备足够人力与器具，合理安排流程，在相应区域保质保量完成消杀任务，并保持工作区域整洁。</w:t>
      </w:r>
    </w:p>
    <w:p w14:paraId="6169AC8B">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人员资质与记录：上岗服务人员须持证上岗、统一着装，严格遵守灭鼠杀虫技术操作规程，文明作业。每次服务后填写《灭鼠杀虫服务联系单》，经校方老师签字确认后方为有效服务；无签字确认视为无效。</w:t>
      </w:r>
    </w:p>
    <w:p w14:paraId="256AED64">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特殊区域要求：学校生活区、教学区域内不得喷洒药物，应采用物理防制措施（如粘捕、诱捕、封堵等）。</w:t>
      </w:r>
    </w:p>
    <w:p w14:paraId="229CE654">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技术指导：服务期内，消杀方须无偿向校方提供除四害等消杀工作的技术指导（如孳生地排查建议、防制设施使用培训等）。</w:t>
      </w:r>
    </w:p>
    <w:p w14:paraId="74ADE2CB">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质量验收与返工责任：若因消杀方用药或操作未达到验收标准，造成返工及另行购料的费用由消杀方承担；对校方造成损失的，消杀方应予以赔偿。</w:t>
      </w:r>
    </w:p>
    <w:p w14:paraId="79E1D1A0">
      <w:pPr>
        <w:spacing w:line="36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w:t>
      </w:r>
      <w:r>
        <w:rPr>
          <w:rFonts w:hint="eastAsia" w:asciiTheme="minorEastAsia" w:hAnsiTheme="minorEastAsia" w:eastAsiaTheme="minorEastAsia" w:cstheme="minorEastAsia"/>
          <w:sz w:val="22"/>
          <w:szCs w:val="22"/>
        </w:rPr>
        <w:t>安全事故与损坏赔偿：服务期间因操作不当导致的人员伤害、安全事故，或对校方设备设施造成损坏的，消杀方承担全部责任并照价赔偿。</w:t>
      </w:r>
    </w:p>
    <w:p w14:paraId="73BF66CB">
      <w:pPr>
        <w:spacing w:line="360" w:lineRule="auto"/>
        <w:rPr>
          <w:rFonts w:hint="eastAsia" w:ascii="宋体" w:hAnsi="宋体" w:cs="宋体"/>
          <w:b/>
          <w:bCs/>
          <w:color w:val="auto"/>
          <w:sz w:val="28"/>
          <w:szCs w:val="28"/>
          <w:lang w:val="en-US" w:eastAsia="zh-CN"/>
        </w:rPr>
      </w:pP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rPr>
        <w:t>应急响应：校方提出紧急消杀需求时，消杀方应在1小时内响应，4小时内到达现场完成消杀服务保障工作。</w:t>
      </w:r>
    </w:p>
    <w:p w14:paraId="605C9F92">
      <w:pPr>
        <w:jc w:val="left"/>
        <w:rPr>
          <w:rFonts w:hint="eastAsia" w:eastAsia="宋体"/>
          <w:b/>
          <w:sz w:val="28"/>
          <w:szCs w:val="28"/>
          <w:lang w:val="en-US" w:eastAsia="zh-CN"/>
        </w:rPr>
      </w:pPr>
      <w:r>
        <w:rPr>
          <w:rFonts w:hint="eastAsia" w:ascii="宋体" w:hAnsi="宋体"/>
          <w:b/>
          <w:sz w:val="28"/>
          <w:szCs w:val="28"/>
          <w:lang w:eastAsia="zh-CN"/>
        </w:rPr>
        <w:t>（</w:t>
      </w:r>
      <w:r>
        <w:rPr>
          <w:rFonts w:hint="eastAsia" w:ascii="宋体" w:hAnsi="宋体"/>
          <w:b/>
          <w:sz w:val="28"/>
          <w:szCs w:val="28"/>
          <w:lang w:val="en-US" w:eastAsia="zh-CN"/>
        </w:rPr>
        <w:t>二</w:t>
      </w:r>
      <w:r>
        <w:rPr>
          <w:rFonts w:hint="eastAsia" w:ascii="宋体" w:hAnsi="宋体"/>
          <w:b/>
          <w:sz w:val="28"/>
          <w:szCs w:val="28"/>
          <w:lang w:eastAsia="zh-CN"/>
        </w:rPr>
        <w:t>）</w:t>
      </w:r>
      <w:r>
        <w:rPr>
          <w:rFonts w:hint="eastAsia" w:ascii="宋体" w:hAnsi="宋体"/>
          <w:b/>
          <w:sz w:val="28"/>
          <w:szCs w:val="28"/>
        </w:rPr>
        <w:t>合同</w:t>
      </w:r>
      <w:r>
        <w:rPr>
          <w:rFonts w:hint="eastAsia" w:ascii="宋体" w:hAnsi="宋体"/>
          <w:b/>
          <w:sz w:val="28"/>
          <w:szCs w:val="28"/>
          <w:lang w:val="en-US" w:eastAsia="zh-CN"/>
        </w:rPr>
        <w:t>格式参考</w:t>
      </w:r>
    </w:p>
    <w:p w14:paraId="78CED57D">
      <w:pPr>
        <w:keepNext w:val="0"/>
        <w:keepLines w:val="0"/>
        <w:pageBreakBefore w:val="0"/>
        <w:widowControl w:val="0"/>
        <w:kinsoku/>
        <w:wordWrap/>
        <w:overflowPunct/>
        <w:topLinePunct w:val="0"/>
        <w:autoSpaceDE/>
        <w:autoSpaceDN/>
        <w:bidi w:val="0"/>
        <w:adjustRightInd/>
        <w:snapToGrid/>
        <w:spacing w:line="336" w:lineRule="auto"/>
        <w:ind w:right="199" w:rightChars="95"/>
        <w:textAlignment w:val="auto"/>
        <w:rPr>
          <w:rFonts w:hint="eastAsia" w:ascii="Arial"/>
          <w:b/>
          <w:bCs/>
          <w:sz w:val="22"/>
          <w:szCs w:val="22"/>
          <w:lang w:val="en-US" w:eastAsia="zh-CN"/>
        </w:rPr>
      </w:pPr>
      <w:r>
        <w:rPr>
          <w:rFonts w:hint="eastAsia" w:ascii="Arial"/>
          <w:b/>
          <w:bCs/>
          <w:sz w:val="22"/>
          <w:szCs w:val="22"/>
          <w:lang w:val="en-US" w:eastAsia="zh-CN"/>
        </w:rPr>
        <w:t>甲方：辽宁何氏医学院</w:t>
      </w:r>
    </w:p>
    <w:p w14:paraId="13644C6E">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0" w:firstLineChars="0"/>
        <w:jc w:val="left"/>
        <w:textAlignment w:val="auto"/>
        <w:rPr>
          <w:rFonts w:hint="eastAsia" w:ascii="宋体" w:hAnsi="宋体"/>
          <w:sz w:val="22"/>
          <w:szCs w:val="22"/>
        </w:rPr>
      </w:pPr>
      <w:r>
        <w:rPr>
          <w:rFonts w:hint="eastAsia" w:ascii="Arial"/>
          <w:b/>
          <w:bCs/>
          <w:sz w:val="22"/>
          <w:szCs w:val="22"/>
          <w:lang w:val="en-US" w:eastAsia="zh-CN"/>
        </w:rPr>
        <w:t>乙方：</w:t>
      </w:r>
      <w:r>
        <w:rPr>
          <w:rFonts w:hint="eastAsia" w:ascii="Arial"/>
          <w:sz w:val="22"/>
          <w:szCs w:val="22"/>
          <w:lang w:val="en-US" w:eastAsia="zh-CN"/>
        </w:rPr>
        <w:t xml:space="preserve"> </w:t>
      </w:r>
    </w:p>
    <w:p w14:paraId="54E1DEE3">
      <w:pPr>
        <w:snapToGrid w:val="0"/>
        <w:spacing w:line="336" w:lineRule="auto"/>
        <w:ind w:right="199" w:rightChars="95" w:firstLine="440" w:firstLineChars="200"/>
        <w:rPr>
          <w:rFonts w:ascii="宋体" w:hAnsi="宋体"/>
          <w:sz w:val="22"/>
          <w:szCs w:val="22"/>
        </w:rPr>
      </w:pPr>
      <w:r>
        <w:rPr>
          <w:rFonts w:hint="eastAsia" w:ascii="宋体" w:hAnsi="宋体"/>
          <w:sz w:val="22"/>
          <w:szCs w:val="22"/>
        </w:rPr>
        <w:t>根据《中华人民共和国民法典》规定，甲乙双方友好协商，就乙方向甲方提供有害生物防治服务工作达成协议，甲、乙双方必须严格按其遵守执行并自愿签订本合同如下：</w:t>
      </w:r>
    </w:p>
    <w:p w14:paraId="288DE97C">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一、服务内容</w:t>
      </w:r>
    </w:p>
    <w:p w14:paraId="7A1A82A9">
      <w:pPr>
        <w:snapToGrid w:val="0"/>
        <w:spacing w:line="336" w:lineRule="auto"/>
        <w:ind w:right="199" w:rightChars="95" w:firstLine="440" w:firstLineChars="200"/>
        <w:rPr>
          <w:rFonts w:ascii="宋体" w:hAnsi="宋体"/>
          <w:sz w:val="22"/>
          <w:szCs w:val="22"/>
        </w:rPr>
      </w:pPr>
      <w:r>
        <w:rPr>
          <w:rFonts w:hint="eastAsia" w:ascii="宋体" w:hAnsi="宋体"/>
          <w:sz w:val="22"/>
          <w:szCs w:val="22"/>
        </w:rPr>
        <w:t>1、校园外环境“除四害”消杀服务：灭蚊、灭鼠、灭苍蝇、灭蟑螂、灭害虫等有害生物；春季越冬蟑类、蚊蝇类虫卵熏杀。</w:t>
      </w:r>
    </w:p>
    <w:p w14:paraId="720D9E25">
      <w:pPr>
        <w:snapToGrid w:val="0"/>
        <w:spacing w:line="336" w:lineRule="auto"/>
        <w:ind w:right="199" w:rightChars="95" w:firstLine="440" w:firstLineChars="200"/>
        <w:rPr>
          <w:rFonts w:ascii="宋体" w:hAnsi="宋体"/>
          <w:sz w:val="22"/>
          <w:szCs w:val="22"/>
        </w:rPr>
      </w:pPr>
      <w:r>
        <w:rPr>
          <w:rFonts w:hint="eastAsia" w:ascii="宋体" w:hAnsi="宋体"/>
          <w:sz w:val="22"/>
          <w:szCs w:val="22"/>
        </w:rPr>
        <w:t>（1）灭鼠——校区内公共环境进行药物灭老鼠，按标准放置鼠盒投放点，</w:t>
      </w:r>
      <w:r>
        <w:rPr>
          <w:rFonts w:hint="eastAsia" w:ascii="宋体" w:hAnsi="宋体"/>
          <w:color w:val="auto"/>
          <w:sz w:val="22"/>
          <w:szCs w:val="22"/>
        </w:rPr>
        <w:t>及时</w:t>
      </w:r>
      <w:r>
        <w:rPr>
          <w:rFonts w:hint="eastAsia" w:ascii="宋体" w:hAnsi="宋体"/>
          <w:color w:val="auto"/>
          <w:sz w:val="22"/>
          <w:szCs w:val="22"/>
          <w:lang w:val="en-US" w:eastAsia="zh-CN"/>
        </w:rPr>
        <w:t>发现</w:t>
      </w:r>
      <w:r>
        <w:rPr>
          <w:rFonts w:hint="eastAsia" w:ascii="宋体" w:hAnsi="宋体"/>
          <w:color w:val="auto"/>
          <w:sz w:val="22"/>
          <w:szCs w:val="22"/>
        </w:rPr>
        <w:t>老鼠洞</w:t>
      </w:r>
      <w:r>
        <w:rPr>
          <w:rFonts w:hint="eastAsia" w:ascii="宋体" w:hAnsi="宋体"/>
          <w:color w:val="auto"/>
          <w:sz w:val="22"/>
          <w:szCs w:val="22"/>
          <w:lang w:val="en-US" w:eastAsia="zh-CN"/>
        </w:rPr>
        <w:t>并上报</w:t>
      </w:r>
      <w:r>
        <w:rPr>
          <w:rFonts w:hint="eastAsia" w:ascii="宋体" w:hAnsi="宋体"/>
          <w:color w:val="auto"/>
          <w:sz w:val="22"/>
          <w:szCs w:val="22"/>
        </w:rPr>
        <w:t>，清</w:t>
      </w:r>
      <w:r>
        <w:rPr>
          <w:rFonts w:hint="eastAsia" w:ascii="宋体" w:hAnsi="宋体"/>
          <w:sz w:val="22"/>
          <w:szCs w:val="22"/>
        </w:rPr>
        <w:t>扫清理鼠迹、鼠粪。</w:t>
      </w:r>
    </w:p>
    <w:p w14:paraId="7430DCDF">
      <w:pPr>
        <w:snapToGrid w:val="0"/>
        <w:spacing w:line="336" w:lineRule="auto"/>
        <w:ind w:right="199" w:rightChars="95" w:firstLine="440" w:firstLineChars="200"/>
        <w:rPr>
          <w:rFonts w:ascii="宋体" w:hAnsi="宋体"/>
          <w:sz w:val="22"/>
          <w:szCs w:val="22"/>
        </w:rPr>
      </w:pPr>
      <w:r>
        <w:rPr>
          <w:rFonts w:hint="eastAsia" w:ascii="宋体" w:hAnsi="宋体"/>
          <w:sz w:val="22"/>
          <w:szCs w:val="22"/>
        </w:rPr>
        <w:t>（2）灭蟑螂——沙井、下水道、化粪池药物灭蟑螂，并及时清理蟑迹。</w:t>
      </w:r>
    </w:p>
    <w:p w14:paraId="21A66E04">
      <w:pPr>
        <w:snapToGrid w:val="0"/>
        <w:spacing w:line="336" w:lineRule="auto"/>
        <w:ind w:right="199" w:rightChars="95" w:firstLine="440" w:firstLineChars="200"/>
        <w:rPr>
          <w:rFonts w:ascii="宋体" w:hAnsi="宋体"/>
          <w:sz w:val="22"/>
          <w:szCs w:val="22"/>
        </w:rPr>
      </w:pPr>
      <w:r>
        <w:rPr>
          <w:rFonts w:hint="eastAsia" w:ascii="宋体" w:hAnsi="宋体"/>
          <w:sz w:val="22"/>
          <w:szCs w:val="22"/>
        </w:rPr>
        <w:t>（3）灭蚊、灭苍蝇：季节性喷洒药物，除积水 (蚊虫孑孓)、清理蚊蝇滋生地。</w:t>
      </w:r>
    </w:p>
    <w:p w14:paraId="3D93B4F7">
      <w:pPr>
        <w:snapToGrid w:val="0"/>
        <w:spacing w:line="336" w:lineRule="auto"/>
        <w:ind w:right="199" w:rightChars="95" w:firstLine="440" w:firstLineChars="200"/>
        <w:rPr>
          <w:rFonts w:ascii="宋体" w:hAnsi="宋体"/>
          <w:sz w:val="22"/>
          <w:szCs w:val="22"/>
        </w:rPr>
      </w:pPr>
      <w:r>
        <w:rPr>
          <w:rFonts w:hint="eastAsia" w:ascii="宋体" w:hAnsi="宋体"/>
          <w:sz w:val="22"/>
          <w:szCs w:val="22"/>
        </w:rPr>
        <w:t>2、食堂室内环境消杀：鼠类、蝇类、蟑螂及蚊子等有害生物。</w:t>
      </w:r>
    </w:p>
    <w:p w14:paraId="0DB3A5B6">
      <w:pPr>
        <w:snapToGrid w:val="0"/>
        <w:spacing w:line="336" w:lineRule="auto"/>
        <w:ind w:right="199" w:rightChars="95" w:firstLine="440" w:firstLineChars="200"/>
        <w:rPr>
          <w:rFonts w:ascii="宋体" w:hAnsi="宋体"/>
          <w:sz w:val="22"/>
          <w:szCs w:val="22"/>
        </w:rPr>
      </w:pPr>
      <w:r>
        <w:rPr>
          <w:rFonts w:hint="eastAsia" w:ascii="宋体" w:hAnsi="宋体"/>
          <w:sz w:val="22"/>
          <w:szCs w:val="22"/>
        </w:rPr>
        <w:t>3、其他校内有害生物消杀：控制校内各类飞虫（有害飞虫）；发生害虫地方，及时进行药物处理。</w:t>
      </w:r>
    </w:p>
    <w:p w14:paraId="3F497A23">
      <w:pPr>
        <w:snapToGrid w:val="0"/>
        <w:spacing w:line="336" w:lineRule="auto"/>
        <w:ind w:right="199" w:rightChars="95" w:firstLine="440" w:firstLineChars="200"/>
        <w:rPr>
          <w:rFonts w:ascii="宋体" w:hAnsi="宋体"/>
          <w:sz w:val="22"/>
          <w:szCs w:val="22"/>
        </w:rPr>
      </w:pPr>
      <w:r>
        <w:rPr>
          <w:rFonts w:hint="eastAsia" w:ascii="宋体" w:hAnsi="宋体"/>
          <w:sz w:val="22"/>
          <w:szCs w:val="22"/>
        </w:rPr>
        <w:t>4、公共环境卫生消毒消杀服务：校内重点公共场所区域消杀，并做好详细记录备查。</w:t>
      </w:r>
    </w:p>
    <w:p w14:paraId="120F32DC">
      <w:pPr>
        <w:snapToGrid w:val="0"/>
        <w:spacing w:line="336" w:lineRule="auto"/>
        <w:ind w:right="199" w:rightChars="95" w:firstLine="440" w:firstLineChars="200"/>
        <w:rPr>
          <w:rFonts w:ascii="宋体" w:hAnsi="宋体"/>
          <w:sz w:val="22"/>
          <w:szCs w:val="22"/>
        </w:rPr>
      </w:pPr>
      <w:r>
        <w:rPr>
          <w:rFonts w:hint="eastAsia" w:ascii="宋体" w:hAnsi="宋体"/>
          <w:sz w:val="22"/>
          <w:szCs w:val="22"/>
        </w:rPr>
        <w:t>5.每次工作人数由乙方自行安排，但乙方应确保消杀质量，每次消杀服务填写《消杀记录表》，并留相关影像资料，双方确认签字。提供IPPM文件(公司档案、杀虫剂及药剂卫生许可与相关文件、服务报告)。</w:t>
      </w:r>
    </w:p>
    <w:p w14:paraId="41F5155A">
      <w:pPr>
        <w:snapToGrid w:val="0"/>
        <w:spacing w:line="336" w:lineRule="auto"/>
        <w:ind w:right="199" w:rightChars="95" w:firstLine="440" w:firstLineChars="200"/>
        <w:rPr>
          <w:rFonts w:ascii="宋体" w:hAnsi="宋体"/>
          <w:sz w:val="22"/>
          <w:szCs w:val="22"/>
        </w:rPr>
      </w:pPr>
      <w:r>
        <w:rPr>
          <w:rFonts w:hint="eastAsia" w:ascii="宋体" w:hAnsi="宋体"/>
          <w:sz w:val="22"/>
          <w:szCs w:val="22"/>
        </w:rPr>
        <w:t>6.服务频次：消杀时间及频次：</w:t>
      </w:r>
    </w:p>
    <w:p w14:paraId="0F553136">
      <w:pPr>
        <w:snapToGrid w:val="0"/>
        <w:spacing w:line="336" w:lineRule="auto"/>
        <w:ind w:right="199" w:rightChars="95" w:firstLine="440" w:firstLineChars="200"/>
        <w:rPr>
          <w:rFonts w:ascii="宋体" w:hAnsi="宋体"/>
          <w:sz w:val="22"/>
          <w:szCs w:val="22"/>
        </w:rPr>
      </w:pPr>
      <w:r>
        <w:rPr>
          <w:rFonts w:hint="eastAsia" w:ascii="宋体" w:hAnsi="宋体"/>
          <w:sz w:val="22"/>
          <w:szCs w:val="22"/>
        </w:rPr>
        <w:t>（1）外环境消杀频次：2月/次，全年共6次。具体依消杀效果进行增加。</w:t>
      </w:r>
    </w:p>
    <w:p w14:paraId="0BA20200">
      <w:pPr>
        <w:snapToGrid w:val="0"/>
        <w:spacing w:line="336" w:lineRule="auto"/>
        <w:ind w:right="199" w:rightChars="95" w:firstLine="440" w:firstLineChars="200"/>
        <w:rPr>
          <w:rFonts w:ascii="宋体" w:hAnsi="宋体"/>
          <w:sz w:val="22"/>
          <w:szCs w:val="22"/>
        </w:rPr>
      </w:pPr>
      <w:r>
        <w:rPr>
          <w:rFonts w:hint="eastAsia" w:ascii="宋体" w:hAnsi="宋体"/>
          <w:sz w:val="22"/>
          <w:szCs w:val="22"/>
        </w:rPr>
        <w:t>（2）食堂消杀频次：每月1次（不含假期），全年共9次。</w:t>
      </w:r>
    </w:p>
    <w:p w14:paraId="3DB43C1F">
      <w:pPr>
        <w:snapToGrid w:val="0"/>
        <w:spacing w:line="336" w:lineRule="auto"/>
        <w:ind w:right="199" w:rightChars="95" w:firstLine="440" w:firstLineChars="200"/>
        <w:rPr>
          <w:rFonts w:ascii="宋体" w:hAnsi="宋体"/>
          <w:sz w:val="22"/>
          <w:szCs w:val="22"/>
        </w:rPr>
      </w:pPr>
      <w:r>
        <w:rPr>
          <w:rFonts w:hint="eastAsia" w:ascii="宋体" w:hAnsi="宋体"/>
          <w:sz w:val="22"/>
          <w:szCs w:val="22"/>
        </w:rPr>
        <w:t>（3）校园公共环境卫生消毒消杀服务：</w:t>
      </w:r>
      <w:r>
        <w:rPr>
          <w:rFonts w:hint="eastAsia" w:ascii="宋体" w:hAnsi="宋体"/>
          <w:sz w:val="22"/>
          <w:szCs w:val="22"/>
          <w:lang w:val="en-US" w:eastAsia="zh-CN"/>
        </w:rPr>
        <w:t>校内重点场所消杀</w:t>
      </w:r>
      <w:r>
        <w:rPr>
          <w:rFonts w:hint="eastAsia" w:ascii="宋体" w:hAnsi="宋体"/>
          <w:sz w:val="22"/>
          <w:szCs w:val="22"/>
        </w:rPr>
        <w:t>，按照学校要求完成。</w:t>
      </w:r>
    </w:p>
    <w:p w14:paraId="6AE77F55">
      <w:pPr>
        <w:snapToGrid w:val="0"/>
        <w:spacing w:line="336" w:lineRule="auto"/>
        <w:ind w:right="199" w:rightChars="95" w:firstLine="440" w:firstLineChars="200"/>
        <w:rPr>
          <w:rFonts w:ascii="宋体" w:hAnsi="宋体"/>
          <w:sz w:val="22"/>
          <w:szCs w:val="22"/>
        </w:rPr>
      </w:pPr>
      <w:r>
        <w:rPr>
          <w:rFonts w:hint="eastAsia" w:ascii="宋体" w:hAnsi="宋体"/>
          <w:sz w:val="22"/>
          <w:szCs w:val="22"/>
        </w:rPr>
        <w:t>（4）有害生物：校区内指定地点进行虫害消杀服务，达到标准要求。</w:t>
      </w:r>
    </w:p>
    <w:p w14:paraId="5D143181">
      <w:pPr>
        <w:snapToGrid w:val="0"/>
        <w:spacing w:line="336" w:lineRule="auto"/>
        <w:ind w:right="199" w:rightChars="95" w:firstLine="440" w:firstLineChars="200"/>
        <w:rPr>
          <w:rFonts w:ascii="宋体" w:hAnsi="宋体"/>
          <w:sz w:val="22"/>
          <w:szCs w:val="22"/>
        </w:rPr>
      </w:pPr>
      <w:r>
        <w:rPr>
          <w:rFonts w:hint="eastAsia" w:ascii="宋体" w:hAnsi="宋体"/>
          <w:sz w:val="22"/>
          <w:szCs w:val="22"/>
        </w:rPr>
        <w:t>（5）每学期开学前进行全面性消杀。</w:t>
      </w:r>
    </w:p>
    <w:p w14:paraId="0ECDD2B8">
      <w:pPr>
        <w:snapToGrid w:val="0"/>
        <w:spacing w:line="336" w:lineRule="auto"/>
        <w:ind w:right="199" w:rightChars="95" w:firstLine="440" w:firstLineChars="200"/>
        <w:rPr>
          <w:rFonts w:ascii="宋体" w:hAnsi="宋体"/>
          <w:sz w:val="22"/>
          <w:szCs w:val="22"/>
        </w:rPr>
      </w:pPr>
      <w:r>
        <w:rPr>
          <w:rFonts w:hint="eastAsia" w:ascii="宋体" w:hAnsi="宋体"/>
          <w:sz w:val="22"/>
          <w:szCs w:val="22"/>
        </w:rPr>
        <w:t>（6）如有特殊需求电话通知后消杀公司即时消杀。</w:t>
      </w:r>
    </w:p>
    <w:p w14:paraId="0B4BB791">
      <w:pPr>
        <w:snapToGrid w:val="0"/>
        <w:spacing w:line="336" w:lineRule="auto"/>
        <w:ind w:right="199" w:rightChars="95" w:firstLine="440" w:firstLineChars="200"/>
        <w:rPr>
          <w:rFonts w:hint="default" w:ascii="宋体" w:hAnsi="宋体" w:eastAsia="宋体"/>
          <w:sz w:val="22"/>
          <w:szCs w:val="22"/>
          <w:lang w:val="en-US" w:eastAsia="zh-CN"/>
        </w:rPr>
      </w:pPr>
      <w:r>
        <w:rPr>
          <w:rFonts w:hint="eastAsia" w:ascii="宋体" w:hAnsi="宋体"/>
          <w:sz w:val="22"/>
          <w:szCs w:val="22"/>
        </w:rPr>
        <w:t>7.服务期限：</w:t>
      </w:r>
      <w:r>
        <w:rPr>
          <w:rFonts w:hint="eastAsia" w:ascii="宋体" w:hAnsi="宋体"/>
          <w:sz w:val="22"/>
          <w:szCs w:val="22"/>
          <w:u w:val="single"/>
          <w:lang w:val="en-US" w:eastAsia="zh-CN"/>
        </w:rPr>
        <w:t xml:space="preserve">                                      </w:t>
      </w:r>
    </w:p>
    <w:p w14:paraId="0F6AAEE3">
      <w:pPr>
        <w:snapToGrid w:val="0"/>
        <w:spacing w:line="336" w:lineRule="auto"/>
        <w:ind w:right="199" w:rightChars="95" w:firstLine="440" w:firstLineChars="200"/>
        <w:rPr>
          <w:rFonts w:ascii="宋体" w:hAnsi="宋体"/>
          <w:sz w:val="22"/>
          <w:szCs w:val="22"/>
        </w:rPr>
      </w:pPr>
      <w:r>
        <w:rPr>
          <w:rFonts w:hint="eastAsia" w:ascii="宋体" w:hAnsi="宋体"/>
          <w:sz w:val="22"/>
          <w:szCs w:val="22"/>
        </w:rPr>
        <w:t>8.服务范围：</w:t>
      </w:r>
    </w:p>
    <w:p w14:paraId="11339AB5">
      <w:pPr>
        <w:snapToGrid w:val="0"/>
        <w:spacing w:line="336" w:lineRule="auto"/>
        <w:ind w:right="199" w:rightChars="95" w:firstLine="440" w:firstLineChars="200"/>
        <w:rPr>
          <w:rFonts w:ascii="宋体" w:hAnsi="宋体"/>
          <w:sz w:val="22"/>
          <w:szCs w:val="22"/>
        </w:rPr>
      </w:pPr>
      <w:r>
        <w:rPr>
          <w:rFonts w:hint="eastAsia" w:ascii="宋体" w:hAnsi="宋体"/>
          <w:sz w:val="22"/>
          <w:szCs w:val="22"/>
        </w:rPr>
        <w:t>（1）</w:t>
      </w:r>
      <w:r>
        <w:rPr>
          <w:rFonts w:hint="eastAsia" w:ascii="宋体" w:hAnsi="宋体" w:cs="宋体"/>
          <w:color w:val="auto"/>
          <w:sz w:val="22"/>
          <w:szCs w:val="22"/>
        </w:rPr>
        <w:t>辽宁省沈阳市浑南区泗水街66号辽宁何氏医学院</w:t>
      </w:r>
    </w:p>
    <w:p w14:paraId="551E7AE4">
      <w:pPr>
        <w:snapToGrid w:val="0"/>
        <w:spacing w:line="336" w:lineRule="auto"/>
        <w:ind w:right="199" w:rightChars="95" w:firstLine="440" w:firstLineChars="200"/>
        <w:rPr>
          <w:rFonts w:ascii="宋体" w:hAnsi="宋体"/>
          <w:sz w:val="22"/>
          <w:szCs w:val="22"/>
        </w:rPr>
      </w:pPr>
      <w:r>
        <w:rPr>
          <w:rFonts w:hint="eastAsia" w:ascii="宋体" w:hAnsi="宋体"/>
          <w:sz w:val="22"/>
          <w:szCs w:val="22"/>
        </w:rPr>
        <w:t>（2）</w:t>
      </w:r>
      <w:r>
        <w:rPr>
          <w:rFonts w:hint="eastAsia" w:ascii="宋体" w:hAnsi="宋体" w:cs="宋体"/>
          <w:color w:val="auto"/>
          <w:sz w:val="22"/>
          <w:szCs w:val="22"/>
        </w:rPr>
        <w:t>辽宁省沈阳市浑南区泗水街66号</w:t>
      </w:r>
      <w:r>
        <w:rPr>
          <w:rFonts w:hint="eastAsia" w:ascii="宋体" w:hAnsi="宋体"/>
          <w:sz w:val="22"/>
          <w:szCs w:val="22"/>
        </w:rPr>
        <w:t>绿谷眼产业</w:t>
      </w:r>
    </w:p>
    <w:p w14:paraId="6BDA4C50">
      <w:pPr>
        <w:snapToGrid w:val="0"/>
        <w:spacing w:line="336" w:lineRule="auto"/>
        <w:ind w:right="199" w:rightChars="95" w:firstLine="440" w:firstLineChars="200"/>
        <w:rPr>
          <w:rFonts w:ascii="宋体" w:hAnsi="宋体"/>
          <w:color w:val="auto"/>
          <w:sz w:val="22"/>
          <w:szCs w:val="22"/>
        </w:rPr>
      </w:pPr>
      <w:r>
        <w:rPr>
          <w:rFonts w:hint="eastAsia" w:ascii="宋体" w:hAnsi="宋体"/>
          <w:color w:val="auto"/>
          <w:sz w:val="22"/>
          <w:szCs w:val="22"/>
        </w:rPr>
        <w:t>（3）</w:t>
      </w:r>
      <w:r>
        <w:rPr>
          <w:rFonts w:hint="eastAsia" w:ascii="宋体" w:hAnsi="宋体" w:cs="宋体"/>
          <w:color w:val="auto"/>
          <w:sz w:val="22"/>
          <w:szCs w:val="22"/>
        </w:rPr>
        <w:t>辽宁省沈阳市浑南区泗水街</w:t>
      </w:r>
      <w:r>
        <w:rPr>
          <w:rFonts w:hint="eastAsia" w:ascii="宋体" w:hAnsi="宋体" w:cs="宋体"/>
          <w:color w:val="auto"/>
          <w:sz w:val="22"/>
          <w:szCs w:val="22"/>
          <w:lang w:val="en-US" w:eastAsia="zh-CN"/>
        </w:rPr>
        <w:t>77-1、77-2、77-3号</w:t>
      </w:r>
      <w:r>
        <w:rPr>
          <w:rFonts w:hint="eastAsia" w:ascii="宋体" w:hAnsi="宋体"/>
          <w:color w:val="auto"/>
          <w:sz w:val="22"/>
          <w:szCs w:val="22"/>
        </w:rPr>
        <w:t>辽宁何氏医学院北校区</w:t>
      </w:r>
    </w:p>
    <w:p w14:paraId="13D81776">
      <w:pPr>
        <w:snapToGrid w:val="0"/>
        <w:spacing w:line="336" w:lineRule="auto"/>
        <w:ind w:right="199" w:rightChars="95" w:firstLine="440" w:firstLineChars="200"/>
        <w:rPr>
          <w:rFonts w:ascii="宋体" w:hAnsi="宋体" w:cs="宋体"/>
          <w:color w:val="auto"/>
          <w:sz w:val="22"/>
          <w:szCs w:val="22"/>
        </w:rPr>
      </w:pPr>
      <w:r>
        <w:rPr>
          <w:rFonts w:hint="eastAsia" w:ascii="宋体" w:hAnsi="宋体"/>
          <w:color w:val="auto"/>
          <w:sz w:val="22"/>
          <w:szCs w:val="22"/>
        </w:rPr>
        <w:t>（4）</w:t>
      </w:r>
      <w:r>
        <w:rPr>
          <w:rFonts w:hint="eastAsia" w:ascii="宋体" w:hAnsi="宋体" w:cs="宋体"/>
          <w:color w:val="auto"/>
          <w:sz w:val="22"/>
          <w:szCs w:val="22"/>
        </w:rPr>
        <w:t>辽宁省沈阳市浑南区泗水街</w:t>
      </w:r>
      <w:r>
        <w:rPr>
          <w:rFonts w:hint="eastAsia" w:ascii="宋体" w:hAnsi="宋体" w:cs="宋体"/>
          <w:color w:val="auto"/>
          <w:sz w:val="22"/>
          <w:szCs w:val="22"/>
          <w:lang w:val="en-US" w:eastAsia="zh-CN"/>
        </w:rPr>
        <w:t>2-2、2-3号</w:t>
      </w:r>
      <w:r>
        <w:rPr>
          <w:rFonts w:hint="eastAsia" w:ascii="宋体" w:hAnsi="宋体"/>
          <w:color w:val="auto"/>
          <w:sz w:val="22"/>
          <w:szCs w:val="22"/>
        </w:rPr>
        <w:t>辽宁何氏医学院南校区</w:t>
      </w:r>
    </w:p>
    <w:p w14:paraId="261AB34F">
      <w:pPr>
        <w:snapToGrid w:val="0"/>
        <w:spacing w:line="336" w:lineRule="auto"/>
        <w:ind w:right="199" w:rightChars="95"/>
        <w:rPr>
          <w:rFonts w:ascii="宋体" w:hAnsi="宋体" w:cs="宋体"/>
          <w:b/>
          <w:bCs/>
          <w:color w:val="auto"/>
          <w:spacing w:val="16"/>
          <w:sz w:val="22"/>
          <w:szCs w:val="22"/>
        </w:rPr>
      </w:pPr>
      <w:r>
        <w:rPr>
          <w:rFonts w:hint="eastAsia" w:ascii="宋体" w:hAnsi="宋体" w:cs="宋体"/>
          <w:b/>
          <w:bCs/>
          <w:color w:val="auto"/>
          <w:spacing w:val="16"/>
          <w:sz w:val="22"/>
          <w:szCs w:val="22"/>
        </w:rPr>
        <w:t>二、质量标准及服务要求</w:t>
      </w:r>
    </w:p>
    <w:p w14:paraId="00F870BA">
      <w:pPr>
        <w:snapToGrid w:val="0"/>
        <w:spacing w:line="336" w:lineRule="auto"/>
        <w:ind w:right="199" w:rightChars="95" w:firstLine="440" w:firstLineChars="200"/>
        <w:rPr>
          <w:rFonts w:ascii="宋体" w:hAnsi="宋体"/>
          <w:sz w:val="22"/>
          <w:szCs w:val="22"/>
        </w:rPr>
      </w:pPr>
      <w:r>
        <w:rPr>
          <w:rFonts w:hint="eastAsia" w:ascii="宋体" w:hAnsi="宋体"/>
          <w:sz w:val="22"/>
          <w:szCs w:val="22"/>
        </w:rPr>
        <w:t>乙方提供的服务水平应符合国家、地方的卫生相关标准规范和行业标准《全爱卫发 (1997) 5 号》，如有新标准，则自动按新标准执行。</w:t>
      </w:r>
    </w:p>
    <w:p w14:paraId="62B8C3D6">
      <w:pPr>
        <w:snapToGrid w:val="0"/>
        <w:spacing w:line="336" w:lineRule="auto"/>
        <w:ind w:right="199" w:rightChars="95" w:firstLine="440" w:firstLineChars="200"/>
        <w:rPr>
          <w:rFonts w:ascii="宋体" w:hAnsi="宋体"/>
          <w:sz w:val="22"/>
          <w:szCs w:val="22"/>
        </w:rPr>
      </w:pPr>
      <w:r>
        <w:rPr>
          <w:rFonts w:hint="eastAsia" w:ascii="宋体" w:hAnsi="宋体"/>
          <w:sz w:val="22"/>
          <w:szCs w:val="22"/>
        </w:rPr>
        <w:t>1、乙方需根据国家及行业规定根据国家及行业规定的药物进行除四害的防治，制定科学防治方案，完善消杀方案，有效消灭虫害及病媒滋生物，灭鼠、灭蚊、灭蝇、灭蟑、灭虫密度控制水平即要符合卫生部门预防和控制传染病的要求，也要符合爱卫部门及各项专项检查的标准。</w:t>
      </w:r>
    </w:p>
    <w:p w14:paraId="001C82F9">
      <w:pPr>
        <w:snapToGrid w:val="0"/>
        <w:spacing w:line="336" w:lineRule="auto"/>
        <w:ind w:right="199" w:rightChars="95" w:firstLine="440" w:firstLineChars="200"/>
        <w:rPr>
          <w:rFonts w:ascii="宋体" w:hAnsi="宋体"/>
          <w:sz w:val="22"/>
          <w:szCs w:val="22"/>
        </w:rPr>
      </w:pPr>
      <w:r>
        <w:rPr>
          <w:rFonts w:hint="eastAsia" w:ascii="宋体" w:hAnsi="宋体"/>
          <w:sz w:val="22"/>
          <w:szCs w:val="22"/>
        </w:rPr>
        <w:t>2、所用药物必须具备三证及相关检测报告。相关证件、文件交甲方存档备查。</w:t>
      </w:r>
    </w:p>
    <w:p w14:paraId="6DB80995">
      <w:pPr>
        <w:snapToGrid w:val="0"/>
        <w:spacing w:line="336" w:lineRule="auto"/>
        <w:ind w:right="199" w:rightChars="95" w:firstLine="440" w:firstLineChars="200"/>
        <w:rPr>
          <w:rFonts w:ascii="宋体" w:hAnsi="宋体"/>
          <w:sz w:val="22"/>
          <w:szCs w:val="22"/>
        </w:rPr>
      </w:pPr>
      <w:r>
        <w:rPr>
          <w:rFonts w:hint="eastAsia" w:ascii="宋体" w:hAnsi="宋体"/>
          <w:sz w:val="22"/>
          <w:szCs w:val="22"/>
        </w:rPr>
        <w:t>3、喷洒 “除四害”药品时一定不能喷到餐具、原材料及食品上，避免食物受到污染。</w:t>
      </w:r>
    </w:p>
    <w:p w14:paraId="6861C73C">
      <w:pPr>
        <w:snapToGrid w:val="0"/>
        <w:spacing w:line="336" w:lineRule="auto"/>
        <w:ind w:right="199" w:rightChars="95" w:firstLine="440" w:firstLineChars="200"/>
        <w:rPr>
          <w:rFonts w:ascii="宋体" w:hAnsi="宋体"/>
          <w:color w:val="auto"/>
          <w:sz w:val="22"/>
          <w:szCs w:val="22"/>
        </w:rPr>
      </w:pPr>
      <w:r>
        <w:rPr>
          <w:rFonts w:hint="eastAsia" w:ascii="宋体" w:hAnsi="宋体"/>
          <w:sz w:val="22"/>
          <w:szCs w:val="22"/>
        </w:rPr>
        <w:t>4、乙方用药量要达到规范要求，科学合理。为避免害虫产生抗性，药物将不定期轮番替换使用。喷洒药物的方位要全面，不留死角，根据天气、季节及蚊蝇滋生情况合理安排，效果</w:t>
      </w:r>
      <w:r>
        <w:rPr>
          <w:rFonts w:hint="eastAsia" w:ascii="宋体" w:hAnsi="宋体"/>
          <w:color w:val="auto"/>
          <w:sz w:val="22"/>
          <w:szCs w:val="22"/>
        </w:rPr>
        <w:t>不好及时补喷，以达到最佳效果。</w:t>
      </w:r>
    </w:p>
    <w:p w14:paraId="7F5556B0">
      <w:pPr>
        <w:snapToGrid w:val="0"/>
        <w:spacing w:line="336" w:lineRule="auto"/>
        <w:ind w:right="199" w:rightChars="95" w:firstLine="440" w:firstLineChars="200"/>
        <w:rPr>
          <w:rFonts w:ascii="宋体" w:hAnsi="宋体"/>
          <w:color w:val="auto"/>
          <w:sz w:val="22"/>
          <w:szCs w:val="22"/>
        </w:rPr>
      </w:pPr>
      <w:r>
        <w:rPr>
          <w:rFonts w:hint="eastAsia" w:ascii="宋体" w:hAnsi="宋体"/>
          <w:color w:val="auto"/>
          <w:sz w:val="22"/>
          <w:szCs w:val="22"/>
        </w:rPr>
        <w:t>5、乙方所使用的消杀剂为国家允许使用的药剂，对人畜、食品无害，不污染环境</w:t>
      </w:r>
      <w:r>
        <w:rPr>
          <w:rFonts w:hint="eastAsia" w:ascii="宋体" w:hAnsi="宋体"/>
          <w:color w:val="auto"/>
          <w:sz w:val="22"/>
          <w:szCs w:val="22"/>
          <w:lang w:eastAsia="zh-CN"/>
        </w:rPr>
        <w:t>，</w:t>
      </w:r>
      <w:r>
        <w:rPr>
          <w:rFonts w:hint="eastAsia" w:ascii="宋体" w:hAnsi="宋体"/>
          <w:color w:val="auto"/>
          <w:sz w:val="22"/>
          <w:szCs w:val="22"/>
          <w:lang w:val="en-US" w:eastAsia="zh-CN"/>
        </w:rPr>
        <w:t>并</w:t>
      </w:r>
      <w:r>
        <w:rPr>
          <w:rFonts w:hint="eastAsia" w:ascii="宋体" w:hAnsi="宋体"/>
          <w:color w:val="auto"/>
          <w:sz w:val="22"/>
          <w:szCs w:val="22"/>
        </w:rPr>
        <w:t>保证使用的药物和方法均符合国家、地方的相关规定，严禁使用急性灭鼠药</w:t>
      </w:r>
      <w:r>
        <w:rPr>
          <w:rFonts w:hint="eastAsia" w:ascii="宋体" w:hAnsi="宋体"/>
          <w:color w:val="auto"/>
          <w:sz w:val="22"/>
          <w:szCs w:val="22"/>
          <w:lang w:val="en-US" w:eastAsia="zh-CN"/>
        </w:rPr>
        <w:t>及</w:t>
      </w:r>
      <w:r>
        <w:rPr>
          <w:rFonts w:hint="eastAsia" w:ascii="宋体" w:hAnsi="宋体"/>
          <w:color w:val="auto"/>
          <w:sz w:val="22"/>
          <w:szCs w:val="22"/>
        </w:rPr>
        <w:t>其他明文禁用药物。</w:t>
      </w:r>
    </w:p>
    <w:p w14:paraId="1879C7E9">
      <w:pPr>
        <w:snapToGrid w:val="0"/>
        <w:spacing w:line="336" w:lineRule="auto"/>
        <w:ind w:right="199" w:rightChars="95" w:firstLine="440" w:firstLineChars="200"/>
        <w:rPr>
          <w:rFonts w:ascii="宋体" w:hAnsi="宋体"/>
          <w:color w:val="auto"/>
          <w:sz w:val="22"/>
          <w:szCs w:val="22"/>
        </w:rPr>
      </w:pPr>
      <w:r>
        <w:rPr>
          <w:rFonts w:hint="eastAsia" w:ascii="宋体" w:hAnsi="宋体"/>
          <w:color w:val="auto"/>
          <w:sz w:val="22"/>
          <w:szCs w:val="22"/>
        </w:rPr>
        <w:t>6、乙方应积极配合和接受政府相关部门的各类检查及专项检查，保证顺利通过检查，不因除四害工作不达标而影响学校声誉。</w:t>
      </w:r>
    </w:p>
    <w:p w14:paraId="50CCD5B3">
      <w:pPr>
        <w:snapToGrid w:val="0"/>
        <w:spacing w:line="336" w:lineRule="auto"/>
        <w:ind w:right="199" w:rightChars="95" w:firstLine="440" w:firstLineChars="200"/>
        <w:rPr>
          <w:rFonts w:ascii="宋体" w:hAnsi="宋体"/>
          <w:color w:val="auto"/>
          <w:sz w:val="22"/>
          <w:szCs w:val="22"/>
        </w:rPr>
      </w:pPr>
      <w:r>
        <w:rPr>
          <w:rFonts w:hint="eastAsia" w:ascii="宋体" w:hAnsi="宋体"/>
          <w:color w:val="auto"/>
          <w:sz w:val="22"/>
          <w:szCs w:val="22"/>
        </w:rPr>
        <w:t>7、重点公共场所环境消杀消毒，乙方应按照国家标准及学校要求执行。</w:t>
      </w:r>
    </w:p>
    <w:p w14:paraId="04A8DB33">
      <w:pPr>
        <w:snapToGrid w:val="0"/>
        <w:spacing w:line="336" w:lineRule="auto"/>
        <w:ind w:right="199" w:rightChars="95"/>
        <w:rPr>
          <w:rFonts w:ascii="宋体" w:hAnsi="宋体" w:cs="宋体"/>
          <w:b/>
          <w:bCs/>
          <w:color w:val="auto"/>
          <w:spacing w:val="16"/>
          <w:sz w:val="22"/>
          <w:szCs w:val="22"/>
        </w:rPr>
      </w:pPr>
      <w:r>
        <w:rPr>
          <w:rFonts w:hint="eastAsia" w:ascii="宋体" w:hAnsi="宋体" w:cs="宋体"/>
          <w:b/>
          <w:bCs/>
          <w:color w:val="auto"/>
          <w:spacing w:val="16"/>
          <w:sz w:val="22"/>
          <w:szCs w:val="22"/>
        </w:rPr>
        <w:t>三、验收方式</w:t>
      </w:r>
    </w:p>
    <w:p w14:paraId="4C1FD8AE">
      <w:pPr>
        <w:snapToGrid w:val="0"/>
        <w:spacing w:line="336" w:lineRule="auto"/>
        <w:ind w:right="199" w:rightChars="95" w:firstLine="512" w:firstLineChars="200"/>
        <w:rPr>
          <w:rFonts w:ascii="宋体" w:hAnsi="宋体" w:cs="宋体"/>
          <w:color w:val="auto"/>
          <w:sz w:val="22"/>
          <w:szCs w:val="22"/>
        </w:rPr>
      </w:pPr>
      <w:r>
        <w:rPr>
          <w:rFonts w:hint="eastAsia" w:ascii="宋体" w:hAnsi="宋体" w:cs="宋体"/>
          <w:color w:val="auto"/>
          <w:spacing w:val="18"/>
          <w:sz w:val="22"/>
          <w:szCs w:val="22"/>
        </w:rPr>
        <w:t>每</w:t>
      </w:r>
      <w:r>
        <w:rPr>
          <w:rFonts w:hint="eastAsia" w:ascii="宋体" w:hAnsi="宋体" w:cs="宋体"/>
          <w:color w:val="auto"/>
          <w:spacing w:val="14"/>
          <w:sz w:val="22"/>
          <w:szCs w:val="22"/>
        </w:rPr>
        <w:t>次</w:t>
      </w:r>
      <w:r>
        <w:rPr>
          <w:rFonts w:hint="eastAsia" w:ascii="宋体" w:hAnsi="宋体" w:cs="宋体"/>
          <w:color w:val="auto"/>
          <w:spacing w:val="9"/>
          <w:sz w:val="22"/>
          <w:szCs w:val="22"/>
        </w:rPr>
        <w:t>作业完成后甲方对乙方服务进行验收，并在现场服务记录单上签字确认。</w:t>
      </w:r>
    </w:p>
    <w:p w14:paraId="1BAB479F">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四、合同总额及付款方式</w:t>
      </w:r>
    </w:p>
    <w:p w14:paraId="4ED6CFDD">
      <w:pPr>
        <w:snapToGrid w:val="0"/>
        <w:spacing w:line="336" w:lineRule="auto"/>
        <w:ind w:right="199" w:rightChars="95" w:firstLine="440" w:firstLineChars="200"/>
        <w:rPr>
          <w:rFonts w:ascii="宋体" w:hAnsi="宋体"/>
          <w:sz w:val="22"/>
          <w:szCs w:val="22"/>
        </w:rPr>
      </w:pPr>
      <w:r>
        <w:rPr>
          <w:rFonts w:hint="eastAsia" w:ascii="宋体" w:hAnsi="宋体"/>
          <w:sz w:val="22"/>
          <w:szCs w:val="22"/>
        </w:rPr>
        <w:t>1.年度消杀服务费为：(大写)</w:t>
      </w:r>
      <w:r>
        <w:rPr>
          <w:rFonts w:hint="eastAsia" w:ascii="宋体" w:hAnsi="宋体"/>
          <w:color w:val="000000"/>
          <w:sz w:val="22"/>
          <w:szCs w:val="22"/>
        </w:rPr>
        <w:t>：</w:t>
      </w:r>
      <w:r>
        <w:rPr>
          <w:rFonts w:hint="eastAsia" w:ascii="宋体" w:hAnsi="宋体"/>
          <w:color w:val="000000"/>
          <w:sz w:val="22"/>
          <w:szCs w:val="22"/>
          <w:lang w:val="en-US" w:eastAsia="zh-CN"/>
        </w:rPr>
        <w:t xml:space="preserve">    </w:t>
      </w:r>
      <w:r>
        <w:rPr>
          <w:rFonts w:hint="eastAsia" w:ascii="宋体" w:hAnsi="宋体"/>
          <w:color w:val="000000"/>
          <w:sz w:val="22"/>
          <w:szCs w:val="22"/>
        </w:rPr>
        <w:t>元整。小写：</w:t>
      </w:r>
      <w:r>
        <w:rPr>
          <w:rFonts w:hint="eastAsia" w:ascii="宋体" w:hAnsi="宋体"/>
          <w:color w:val="000000"/>
          <w:sz w:val="22"/>
          <w:szCs w:val="22"/>
          <w:lang w:val="en-US" w:eastAsia="zh-CN"/>
        </w:rPr>
        <w:t xml:space="preserve">   </w:t>
      </w:r>
      <w:r>
        <w:rPr>
          <w:rFonts w:hint="eastAsia" w:ascii="宋体" w:hAnsi="宋体"/>
          <w:color w:val="000000"/>
          <w:sz w:val="22"/>
          <w:szCs w:val="22"/>
        </w:rPr>
        <w:t xml:space="preserve"> </w:t>
      </w:r>
      <w:r>
        <w:rPr>
          <w:rFonts w:hint="eastAsia" w:ascii="宋体" w:hAnsi="宋体"/>
          <w:sz w:val="22"/>
          <w:szCs w:val="22"/>
        </w:rPr>
        <w:t>元</w:t>
      </w:r>
      <w:r>
        <w:rPr>
          <w:rFonts w:hint="eastAsia" w:ascii="宋体" w:hAnsi="宋体"/>
          <w:sz w:val="22"/>
          <w:szCs w:val="22"/>
          <w:lang w:val="en-US" w:eastAsia="zh-CN"/>
        </w:rPr>
        <w:t>整</w:t>
      </w:r>
      <w:r>
        <w:rPr>
          <w:rFonts w:hint="eastAsia" w:ascii="宋体" w:hAnsi="宋体"/>
          <w:sz w:val="22"/>
          <w:szCs w:val="22"/>
        </w:rPr>
        <w:t>。</w:t>
      </w:r>
    </w:p>
    <w:p w14:paraId="37632AB3">
      <w:pPr>
        <w:snapToGrid w:val="0"/>
        <w:spacing w:line="336" w:lineRule="auto"/>
        <w:ind w:right="199" w:rightChars="95" w:firstLine="440" w:firstLineChars="200"/>
        <w:rPr>
          <w:rFonts w:hint="default" w:ascii="宋体" w:hAnsi="宋体" w:eastAsia="宋体"/>
          <w:sz w:val="22"/>
          <w:szCs w:val="22"/>
          <w:lang w:val="en-US" w:eastAsia="zh-CN"/>
        </w:rPr>
      </w:pPr>
      <w:r>
        <w:rPr>
          <w:rFonts w:hint="eastAsia" w:ascii="宋体" w:hAnsi="宋体"/>
          <w:sz w:val="22"/>
          <w:szCs w:val="22"/>
        </w:rPr>
        <w:t>付款方式：</w:t>
      </w:r>
      <w:r>
        <w:rPr>
          <w:rFonts w:hint="eastAsia" w:ascii="宋体" w:hAnsi="宋体"/>
          <w:sz w:val="22"/>
          <w:szCs w:val="22"/>
          <w:lang w:val="en-US" w:eastAsia="zh-CN"/>
        </w:rPr>
        <w:t>合同生效</w:t>
      </w:r>
      <w:r>
        <w:rPr>
          <w:rFonts w:hint="eastAsia" w:ascii="宋体" w:hAnsi="宋体"/>
          <w:sz w:val="22"/>
          <w:szCs w:val="22"/>
        </w:rPr>
        <w:t>后，</w:t>
      </w:r>
      <w:r>
        <w:rPr>
          <w:rFonts w:hint="eastAsia" w:ascii="宋体" w:hAnsi="宋体"/>
          <w:sz w:val="22"/>
          <w:szCs w:val="22"/>
          <w:lang w:val="en-US" w:eastAsia="zh-CN"/>
        </w:rPr>
        <w:t>甲方按半年支付服务费</w:t>
      </w:r>
      <w:r>
        <w:rPr>
          <w:rFonts w:hint="eastAsia" w:ascii="宋体" w:hAnsi="宋体"/>
          <w:sz w:val="22"/>
          <w:szCs w:val="22"/>
        </w:rPr>
        <w:t>，</w:t>
      </w:r>
      <w:r>
        <w:rPr>
          <w:rFonts w:hint="eastAsia" w:ascii="宋体" w:hAnsi="宋体"/>
          <w:sz w:val="22"/>
          <w:szCs w:val="22"/>
          <w:lang w:val="en-US" w:eastAsia="zh-CN"/>
        </w:rPr>
        <w:t>第一次支付金额为（大写）</w:t>
      </w:r>
      <w:r>
        <w:rPr>
          <w:rFonts w:hint="eastAsia" w:ascii="宋体" w:hAnsi="宋体"/>
          <w:color w:val="000000"/>
          <w:sz w:val="22"/>
          <w:szCs w:val="22"/>
          <w:lang w:val="en-US" w:eastAsia="zh-CN"/>
        </w:rPr>
        <w:t>人</w:t>
      </w:r>
      <w:r>
        <w:rPr>
          <w:rFonts w:hint="eastAsia" w:ascii="宋体" w:hAnsi="宋体"/>
          <w:color w:val="000000"/>
          <w:sz w:val="22"/>
          <w:szCs w:val="22"/>
        </w:rPr>
        <w:t>民币</w:t>
      </w:r>
      <w:r>
        <w:rPr>
          <w:rFonts w:hint="eastAsia" w:ascii="宋体" w:hAnsi="宋体"/>
          <w:color w:val="000000"/>
          <w:sz w:val="22"/>
          <w:szCs w:val="22"/>
          <w:lang w:val="en-US" w:eastAsia="zh-CN"/>
        </w:rPr>
        <w:t xml:space="preserve">   </w:t>
      </w:r>
      <w:r>
        <w:rPr>
          <w:rFonts w:hint="eastAsia" w:ascii="宋体" w:hAnsi="宋体"/>
          <w:color w:val="000000"/>
          <w:sz w:val="22"/>
          <w:szCs w:val="22"/>
        </w:rPr>
        <w:t>元</w:t>
      </w:r>
      <w:r>
        <w:rPr>
          <w:rFonts w:hint="eastAsia" w:ascii="宋体" w:hAnsi="宋体"/>
          <w:color w:val="000000"/>
          <w:sz w:val="22"/>
          <w:szCs w:val="22"/>
          <w:lang w:val="en-US" w:eastAsia="zh-CN"/>
        </w:rPr>
        <w:t>整</w:t>
      </w:r>
      <w:r>
        <w:rPr>
          <w:rFonts w:hint="eastAsia" w:ascii="宋体" w:hAnsi="宋体"/>
          <w:color w:val="000000"/>
          <w:sz w:val="22"/>
          <w:szCs w:val="22"/>
        </w:rPr>
        <w:t>；</w:t>
      </w:r>
      <w:r>
        <w:rPr>
          <w:rFonts w:hint="eastAsia" w:ascii="宋体" w:hAnsi="宋体"/>
          <w:color w:val="000000"/>
          <w:sz w:val="22"/>
          <w:szCs w:val="22"/>
          <w:lang w:val="en-US" w:eastAsia="zh-CN"/>
        </w:rPr>
        <w:t xml:space="preserve">小写：  </w:t>
      </w:r>
      <w:r>
        <w:rPr>
          <w:rFonts w:hint="eastAsia" w:ascii="宋体" w:hAnsi="宋体"/>
          <w:sz w:val="22"/>
          <w:szCs w:val="22"/>
          <w:lang w:val="en-US" w:eastAsia="zh-CN"/>
        </w:rPr>
        <w:t>元整，</w:t>
      </w:r>
      <w:r>
        <w:rPr>
          <w:rFonts w:hint="eastAsia" w:ascii="宋体" w:hAnsi="宋体"/>
          <w:sz w:val="22"/>
          <w:szCs w:val="22"/>
        </w:rPr>
        <w:t>每次付款时间为</w:t>
      </w:r>
      <w:r>
        <w:rPr>
          <w:rFonts w:hint="eastAsia" w:ascii="宋体" w:hAnsi="宋体"/>
          <w:sz w:val="22"/>
          <w:szCs w:val="22"/>
          <w:lang w:val="en-US" w:eastAsia="zh-CN"/>
        </w:rPr>
        <w:t>半年度</w:t>
      </w:r>
      <w:r>
        <w:rPr>
          <w:rFonts w:hint="eastAsia" w:ascii="宋体" w:hAnsi="宋体"/>
          <w:sz w:val="22"/>
          <w:szCs w:val="22"/>
        </w:rPr>
        <w:t>结束后15天内支付</w:t>
      </w:r>
      <w:r>
        <w:rPr>
          <w:rFonts w:hint="eastAsia" w:ascii="宋体" w:hAnsi="宋体"/>
          <w:sz w:val="22"/>
          <w:szCs w:val="22"/>
          <w:lang w:eastAsia="zh-CN"/>
        </w:rPr>
        <w:t>。</w:t>
      </w:r>
      <w:r>
        <w:rPr>
          <w:rFonts w:hint="eastAsia" w:ascii="宋体" w:hAnsi="宋体"/>
          <w:sz w:val="22"/>
          <w:szCs w:val="22"/>
          <w:lang w:val="en-US" w:eastAsia="zh-CN"/>
        </w:rPr>
        <w:t>最终结算款按实际消杀次数结算。</w:t>
      </w:r>
    </w:p>
    <w:p w14:paraId="7F369FEC">
      <w:pPr>
        <w:numPr>
          <w:ilvl w:val="0"/>
          <w:numId w:val="1"/>
        </w:numPr>
        <w:snapToGrid w:val="0"/>
        <w:spacing w:line="336" w:lineRule="auto"/>
        <w:ind w:right="199" w:rightChars="95" w:firstLine="440" w:firstLineChars="200"/>
        <w:rPr>
          <w:rFonts w:hint="eastAsia" w:ascii="宋体" w:hAnsi="宋体"/>
          <w:sz w:val="22"/>
          <w:szCs w:val="22"/>
        </w:rPr>
      </w:pPr>
      <w:r>
        <w:rPr>
          <w:rFonts w:hint="eastAsia" w:ascii="宋体" w:hAnsi="宋体"/>
          <w:sz w:val="22"/>
          <w:szCs w:val="22"/>
        </w:rPr>
        <w:t>甲方支付给乙方的服务费中包含了乙方为完成本合同服务内容所需的人工费、材料费、设备费、税费、利润等所有为实现本合同目的所需费用，合同期内，甲方无需再向乙方支付其他任何款项。</w:t>
      </w:r>
    </w:p>
    <w:p w14:paraId="68D50070">
      <w:pPr>
        <w:pStyle w:val="11"/>
        <w:snapToGrid w:val="0"/>
        <w:spacing w:before="25" w:after="25" w:line="336" w:lineRule="auto"/>
        <w:ind w:left="0" w:leftChars="0" w:right="199" w:rightChars="95" w:firstLine="464" w:firstLineChars="200"/>
        <w:rPr>
          <w:rFonts w:ascii="宋体" w:hAnsi="宋体"/>
          <w:spacing w:val="6"/>
          <w:position w:val="2"/>
          <w:sz w:val="22"/>
          <w:szCs w:val="22"/>
        </w:rPr>
      </w:pPr>
      <w:r>
        <w:rPr>
          <w:rFonts w:hint="eastAsia" w:ascii="宋体" w:hAnsi="宋体"/>
          <w:spacing w:val="6"/>
          <w:position w:val="2"/>
          <w:sz w:val="22"/>
          <w:szCs w:val="22"/>
        </w:rPr>
        <w:t xml:space="preserve">3.乙方指定账户信息如下：              </w:t>
      </w:r>
    </w:p>
    <w:p w14:paraId="24A7F459">
      <w:pPr>
        <w:pStyle w:val="11"/>
        <w:snapToGrid w:val="0"/>
        <w:spacing w:before="25" w:after="25" w:line="336" w:lineRule="auto"/>
        <w:ind w:right="199" w:rightChars="95" w:firstLine="480"/>
        <w:rPr>
          <w:rFonts w:hint="eastAsia" w:ascii="宋体" w:hAnsi="宋体"/>
          <w:sz w:val="22"/>
          <w:szCs w:val="22"/>
          <w:lang w:val="en-US" w:eastAsia="zh-CN"/>
        </w:rPr>
      </w:pPr>
      <w:r>
        <w:rPr>
          <w:rFonts w:hint="eastAsia" w:ascii="宋体" w:hAnsi="宋体"/>
          <w:sz w:val="22"/>
          <w:szCs w:val="22"/>
        </w:rPr>
        <w:t>账户名：</w:t>
      </w:r>
      <w:r>
        <w:rPr>
          <w:rFonts w:hint="eastAsia" w:ascii="宋体" w:hAnsi="宋体"/>
          <w:sz w:val="22"/>
          <w:szCs w:val="22"/>
          <w:lang w:val="en-US" w:eastAsia="zh-CN"/>
        </w:rPr>
        <w:t xml:space="preserve"> </w:t>
      </w:r>
    </w:p>
    <w:p w14:paraId="6D88CA51">
      <w:pPr>
        <w:pStyle w:val="11"/>
        <w:snapToGrid w:val="0"/>
        <w:spacing w:before="25" w:after="25" w:line="336" w:lineRule="auto"/>
        <w:ind w:right="199" w:rightChars="95" w:firstLine="480"/>
        <w:rPr>
          <w:rFonts w:hint="eastAsia" w:ascii="宋体" w:hAnsi="宋体"/>
          <w:sz w:val="22"/>
          <w:szCs w:val="22"/>
          <w:lang w:val="en-US" w:eastAsia="zh-CN"/>
        </w:rPr>
      </w:pPr>
      <w:r>
        <w:rPr>
          <w:rFonts w:hint="eastAsia" w:ascii="宋体" w:hAnsi="宋体"/>
          <w:sz w:val="22"/>
          <w:szCs w:val="22"/>
        </w:rPr>
        <w:t>开户行：</w:t>
      </w:r>
      <w:r>
        <w:rPr>
          <w:rFonts w:hint="eastAsia" w:ascii="宋体" w:hAnsi="宋体"/>
          <w:sz w:val="22"/>
          <w:szCs w:val="22"/>
          <w:lang w:val="en-US" w:eastAsia="zh-CN"/>
        </w:rPr>
        <w:t xml:space="preserve"> </w:t>
      </w:r>
    </w:p>
    <w:p w14:paraId="3A70920B">
      <w:pPr>
        <w:pStyle w:val="11"/>
        <w:snapToGrid w:val="0"/>
        <w:spacing w:before="25" w:after="25" w:line="336" w:lineRule="auto"/>
        <w:ind w:right="199" w:rightChars="95" w:firstLine="480"/>
        <w:rPr>
          <w:rFonts w:ascii="宋体" w:hAnsi="宋体"/>
          <w:sz w:val="22"/>
          <w:szCs w:val="22"/>
        </w:rPr>
      </w:pPr>
      <w:r>
        <w:rPr>
          <w:rFonts w:hint="eastAsia" w:ascii="宋体" w:hAnsi="宋体"/>
          <w:sz w:val="22"/>
          <w:szCs w:val="22"/>
        </w:rPr>
        <w:t>账  号：</w:t>
      </w:r>
    </w:p>
    <w:p w14:paraId="76DC4FBF">
      <w:pPr>
        <w:snapToGrid w:val="0"/>
        <w:spacing w:line="336" w:lineRule="auto"/>
        <w:ind w:right="199" w:rightChars="95" w:firstLine="440" w:firstLineChars="200"/>
        <w:rPr>
          <w:rFonts w:ascii="宋体" w:hAnsi="宋体"/>
          <w:sz w:val="22"/>
          <w:szCs w:val="22"/>
        </w:rPr>
      </w:pPr>
      <w:r>
        <w:rPr>
          <w:rFonts w:hint="eastAsia" w:ascii="宋体" w:hAnsi="宋体"/>
          <w:sz w:val="22"/>
          <w:szCs w:val="22"/>
        </w:rPr>
        <w:t xml:space="preserve">联行号： </w:t>
      </w:r>
    </w:p>
    <w:p w14:paraId="689EF60C">
      <w:pPr>
        <w:snapToGrid w:val="0"/>
        <w:spacing w:line="336" w:lineRule="auto"/>
        <w:ind w:right="199" w:rightChars="95" w:firstLine="440" w:firstLineChars="200"/>
        <w:rPr>
          <w:rFonts w:ascii="宋体" w:hAnsi="宋体"/>
          <w:sz w:val="22"/>
          <w:szCs w:val="22"/>
        </w:rPr>
      </w:pPr>
      <w:r>
        <w:rPr>
          <w:rFonts w:hint="eastAsia" w:ascii="宋体" w:hAnsi="宋体"/>
          <w:sz w:val="22"/>
          <w:szCs w:val="22"/>
        </w:rPr>
        <w:t>乙方确保上述账户信息真实准确，若账户信息有误造成乙方未收到甲方付款，损失乙方自行承担，若乙方更换以上账户信息，应在付款日前15个工作日书面通知甲方，若乙方未提前15个工作日书面通知甲方，致使乙方未收到费用的，甲方不承担任何责任。为免疑义，除双方另有约定外，甲方将款项支付至前述账户后即视为甲方完成等额的价款支付义务。</w:t>
      </w:r>
    </w:p>
    <w:p w14:paraId="74673490">
      <w:pPr>
        <w:snapToGrid w:val="0"/>
        <w:spacing w:line="336" w:lineRule="auto"/>
        <w:ind w:right="199" w:rightChars="95" w:firstLine="440" w:firstLineChars="200"/>
        <w:rPr>
          <w:rFonts w:ascii="宋体" w:hAnsi="宋体"/>
          <w:sz w:val="22"/>
          <w:szCs w:val="22"/>
        </w:rPr>
      </w:pPr>
      <w:r>
        <w:rPr>
          <w:rFonts w:hint="eastAsia" w:ascii="宋体" w:hAnsi="宋体"/>
          <w:sz w:val="22"/>
          <w:szCs w:val="22"/>
        </w:rPr>
        <w:t>4.甲方每次付款前</w:t>
      </w:r>
      <w:r>
        <w:rPr>
          <w:rFonts w:hint="eastAsia" w:ascii="宋体" w:hAnsi="宋体"/>
          <w:sz w:val="22"/>
          <w:szCs w:val="22"/>
          <w:lang w:val="en-US" w:eastAsia="zh-CN"/>
        </w:rPr>
        <w:t>7日</w:t>
      </w:r>
      <w:r>
        <w:rPr>
          <w:rFonts w:hint="eastAsia" w:ascii="宋体" w:hAnsi="宋体"/>
          <w:sz w:val="22"/>
          <w:szCs w:val="22"/>
        </w:rPr>
        <w:t>，乙方需按甲方要求提供合法合规的增值税发票，否则，甲方有权顺延付款且不承担违约责任。</w:t>
      </w:r>
    </w:p>
    <w:p w14:paraId="7BB755B0">
      <w:pPr>
        <w:snapToGrid w:val="0"/>
        <w:spacing w:line="336" w:lineRule="auto"/>
        <w:ind w:right="199" w:rightChars="95" w:firstLine="440" w:firstLineChars="200"/>
        <w:rPr>
          <w:rFonts w:ascii="宋体" w:hAnsi="宋体"/>
          <w:sz w:val="22"/>
          <w:szCs w:val="22"/>
        </w:rPr>
      </w:pPr>
      <w:r>
        <w:rPr>
          <w:rFonts w:hint="eastAsia" w:ascii="宋体" w:hAnsi="宋体"/>
          <w:sz w:val="22"/>
          <w:szCs w:val="22"/>
        </w:rPr>
        <w:t>5.乙方开具的增值税发票必须符合国家税收有关法律规定及本合同约定，不得使用虚假发票、或伪造、变造的发票，否则一切责任由乙方自行承担，同时乙方需向甲方承担票面金额20%的违约金，由此引起的甲方全部损失由乙方负责双倍赔偿。同时，甲方可将乙方列为不合格供方，并保留对乙方追究法律责任的权利。</w:t>
      </w:r>
    </w:p>
    <w:p w14:paraId="529456A0">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五、 甲方权利义务</w:t>
      </w:r>
    </w:p>
    <w:p w14:paraId="1E259EF6">
      <w:pPr>
        <w:snapToGrid w:val="0"/>
        <w:spacing w:line="336" w:lineRule="auto"/>
        <w:ind w:right="199" w:rightChars="95" w:firstLine="440" w:firstLineChars="200"/>
        <w:rPr>
          <w:rFonts w:ascii="宋体" w:hAnsi="宋体"/>
          <w:sz w:val="22"/>
          <w:szCs w:val="22"/>
        </w:rPr>
      </w:pPr>
      <w:r>
        <w:rPr>
          <w:rFonts w:hint="eastAsia" w:ascii="宋体" w:hAnsi="宋体"/>
          <w:sz w:val="22"/>
          <w:szCs w:val="22"/>
        </w:rPr>
        <w:t>1.防鼠防蝇防蟑设施符合有关要求，消杀后清理好现场环境卫生和杂物。</w:t>
      </w:r>
    </w:p>
    <w:p w14:paraId="7E811F37">
      <w:pPr>
        <w:snapToGrid w:val="0"/>
        <w:spacing w:line="336" w:lineRule="auto"/>
        <w:ind w:right="199" w:rightChars="95" w:firstLine="440" w:firstLineChars="200"/>
        <w:rPr>
          <w:rFonts w:ascii="宋体" w:hAnsi="宋体"/>
          <w:sz w:val="22"/>
          <w:szCs w:val="22"/>
        </w:rPr>
      </w:pPr>
      <w:r>
        <w:rPr>
          <w:rFonts w:hint="eastAsia" w:ascii="宋体" w:hAnsi="宋体"/>
          <w:sz w:val="22"/>
          <w:szCs w:val="22"/>
        </w:rPr>
        <w:t>2.合同期间内，服务范围内的除“有害生物”如达不到规定标准，甲方有权向乙方提出警告并要求乙方进行整改。</w:t>
      </w:r>
    </w:p>
    <w:p w14:paraId="07991266">
      <w:pPr>
        <w:snapToGrid w:val="0"/>
        <w:spacing w:line="336" w:lineRule="auto"/>
        <w:ind w:right="199" w:rightChars="95" w:firstLine="440" w:firstLineChars="200"/>
        <w:rPr>
          <w:rFonts w:ascii="宋体" w:hAnsi="宋体"/>
          <w:sz w:val="22"/>
          <w:szCs w:val="22"/>
        </w:rPr>
      </w:pPr>
      <w:r>
        <w:rPr>
          <w:rFonts w:hint="eastAsia" w:ascii="宋体" w:hAnsi="宋体"/>
          <w:sz w:val="22"/>
          <w:szCs w:val="22"/>
        </w:rPr>
        <w:t>3.对乙方的服务过程进行监督并对乙方工作进行考核。</w:t>
      </w:r>
    </w:p>
    <w:p w14:paraId="1D568C00">
      <w:pPr>
        <w:snapToGrid w:val="0"/>
        <w:spacing w:line="336" w:lineRule="auto"/>
        <w:ind w:right="199" w:rightChars="95" w:firstLine="440" w:firstLineChars="200"/>
        <w:rPr>
          <w:rFonts w:ascii="宋体" w:hAnsi="宋体"/>
          <w:sz w:val="22"/>
          <w:szCs w:val="22"/>
        </w:rPr>
      </w:pPr>
      <w:r>
        <w:rPr>
          <w:rFonts w:hint="eastAsia" w:ascii="宋体" w:hAnsi="宋体"/>
          <w:sz w:val="22"/>
          <w:szCs w:val="22"/>
        </w:rPr>
        <w:t>4.按本合同约定支付服务费，以保证乙方消杀服务工作正常开展。</w:t>
      </w:r>
    </w:p>
    <w:p w14:paraId="6E03EEBB">
      <w:pPr>
        <w:snapToGrid w:val="0"/>
        <w:spacing w:line="336" w:lineRule="auto"/>
        <w:ind w:right="199" w:rightChars="95" w:firstLine="440" w:firstLineChars="200"/>
        <w:rPr>
          <w:rFonts w:ascii="宋体" w:hAnsi="宋体"/>
          <w:sz w:val="22"/>
          <w:szCs w:val="22"/>
        </w:rPr>
      </w:pPr>
      <w:r>
        <w:rPr>
          <w:rFonts w:hint="eastAsia" w:ascii="宋体" w:hAnsi="宋体"/>
          <w:sz w:val="22"/>
          <w:szCs w:val="22"/>
        </w:rPr>
        <w:t>5.向乙方无偿提供水、电源，并协助乙方进行现场工作的协调。</w:t>
      </w:r>
    </w:p>
    <w:p w14:paraId="37E46109">
      <w:pPr>
        <w:snapToGrid w:val="0"/>
        <w:spacing w:line="336" w:lineRule="auto"/>
        <w:ind w:right="199" w:rightChars="95" w:firstLine="440" w:firstLineChars="200"/>
        <w:rPr>
          <w:rFonts w:ascii="宋体" w:hAnsi="宋体"/>
          <w:sz w:val="22"/>
          <w:szCs w:val="22"/>
        </w:rPr>
      </w:pPr>
      <w:r>
        <w:rPr>
          <w:rFonts w:hint="eastAsia" w:ascii="宋体" w:hAnsi="宋体"/>
          <w:sz w:val="22"/>
          <w:szCs w:val="22"/>
        </w:rPr>
        <w:t xml:space="preserve">6.因卫生检查或甲方有重大活动需要，有权要求乙方给予协助进行消杀的，乙方须给予配合。 </w:t>
      </w:r>
    </w:p>
    <w:p w14:paraId="0CC6EBED">
      <w:pPr>
        <w:snapToGrid w:val="0"/>
        <w:spacing w:line="336" w:lineRule="auto"/>
        <w:ind w:right="199" w:rightChars="95" w:firstLine="440" w:firstLineChars="200"/>
        <w:rPr>
          <w:rFonts w:ascii="宋体" w:hAnsi="宋体"/>
          <w:sz w:val="22"/>
          <w:szCs w:val="22"/>
        </w:rPr>
      </w:pPr>
      <w:r>
        <w:rPr>
          <w:rFonts w:hint="eastAsia" w:ascii="宋体" w:hAnsi="宋体"/>
          <w:sz w:val="22"/>
          <w:szCs w:val="22"/>
        </w:rPr>
        <w:t xml:space="preserve">7.甲方在遇到任何紧急情况，需要乙方做即时处理时，须致电乙方投诉专线 </w:t>
      </w:r>
      <w:r>
        <w:rPr>
          <w:rFonts w:hint="eastAsia" w:ascii="宋体" w:hAnsi="宋体"/>
          <w:sz w:val="22"/>
          <w:szCs w:val="22"/>
          <w:lang w:val="en-US" w:eastAsia="zh-CN"/>
        </w:rPr>
        <w:t xml:space="preserve">  </w:t>
      </w:r>
      <w:r>
        <w:rPr>
          <w:rFonts w:hint="eastAsia" w:ascii="宋体" w:hAnsi="宋体"/>
          <w:sz w:val="22"/>
          <w:szCs w:val="22"/>
        </w:rPr>
        <w:t xml:space="preserve">。 </w:t>
      </w:r>
    </w:p>
    <w:p w14:paraId="438B71C3">
      <w:pPr>
        <w:snapToGrid w:val="0"/>
        <w:spacing w:line="336" w:lineRule="auto"/>
        <w:ind w:right="199" w:rightChars="95" w:firstLine="440" w:firstLineChars="200"/>
        <w:rPr>
          <w:rFonts w:ascii="宋体" w:hAnsi="宋体"/>
          <w:sz w:val="22"/>
          <w:szCs w:val="22"/>
        </w:rPr>
      </w:pPr>
      <w:r>
        <w:rPr>
          <w:rFonts w:hint="eastAsia" w:ascii="宋体" w:hAnsi="宋体"/>
          <w:sz w:val="22"/>
          <w:szCs w:val="22"/>
        </w:rPr>
        <w:t>8.配合乙方落实改进、不断提高自身防虫、防鼠硬件设施的建设，做好灭鼠堵洞工作。因乙方的专业建议得不到甲方积极落实，将会直接影响乙方的虫害防治效果。</w:t>
      </w:r>
    </w:p>
    <w:p w14:paraId="1B807578">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六、乙方权利义务</w:t>
      </w:r>
    </w:p>
    <w:p w14:paraId="6CED4B2C">
      <w:pPr>
        <w:snapToGrid w:val="0"/>
        <w:spacing w:line="336" w:lineRule="auto"/>
        <w:ind w:right="199" w:rightChars="95" w:firstLine="440" w:firstLineChars="200"/>
        <w:rPr>
          <w:rFonts w:ascii="宋体" w:hAnsi="宋体"/>
          <w:sz w:val="22"/>
          <w:szCs w:val="22"/>
        </w:rPr>
      </w:pPr>
      <w:r>
        <w:rPr>
          <w:rFonts w:hint="eastAsia" w:ascii="宋体" w:hAnsi="宋体"/>
          <w:sz w:val="22"/>
          <w:szCs w:val="22"/>
        </w:rPr>
        <w:t>1.乙方采用包工包料的消杀服务方式。</w:t>
      </w:r>
    </w:p>
    <w:p w14:paraId="590DA44B">
      <w:pPr>
        <w:snapToGrid w:val="0"/>
        <w:spacing w:line="336" w:lineRule="auto"/>
        <w:ind w:right="199" w:rightChars="95" w:firstLine="440" w:firstLineChars="200"/>
        <w:rPr>
          <w:rFonts w:ascii="宋体" w:hAnsi="宋体"/>
          <w:sz w:val="22"/>
          <w:szCs w:val="22"/>
        </w:rPr>
      </w:pPr>
      <w:r>
        <w:rPr>
          <w:rFonts w:hint="eastAsia" w:ascii="宋体" w:hAnsi="宋体"/>
          <w:sz w:val="22"/>
          <w:szCs w:val="22"/>
        </w:rPr>
        <w:t>2.必须持有政府主管部门签发的除“有害生物”服务许可证和消杀人员上岗证</w:t>
      </w:r>
      <w:r>
        <w:rPr>
          <w:rFonts w:hint="eastAsia" w:ascii="宋体" w:hAnsi="宋体"/>
          <w:sz w:val="22"/>
          <w:szCs w:val="22"/>
          <w:lang w:eastAsia="zh-CN"/>
        </w:rPr>
        <w:t>，</w:t>
      </w:r>
      <w:r>
        <w:rPr>
          <w:rFonts w:hint="eastAsia" w:ascii="宋体" w:hAnsi="宋体"/>
          <w:sz w:val="22"/>
          <w:szCs w:val="22"/>
          <w:lang w:val="en-US" w:eastAsia="zh-CN"/>
        </w:rPr>
        <w:t>乙方人员进入甲方场所应出示相关工作证明或者乙方授权委托书，否则甲方有权拒绝进场。</w:t>
      </w:r>
    </w:p>
    <w:p w14:paraId="125B6D4F">
      <w:pPr>
        <w:snapToGrid w:val="0"/>
        <w:spacing w:line="336" w:lineRule="auto"/>
        <w:ind w:right="199" w:rightChars="95" w:firstLine="440" w:firstLineChars="200"/>
        <w:rPr>
          <w:rFonts w:ascii="宋体" w:hAnsi="宋体"/>
          <w:sz w:val="22"/>
          <w:szCs w:val="22"/>
        </w:rPr>
      </w:pPr>
      <w:r>
        <w:rPr>
          <w:rFonts w:hint="eastAsia" w:ascii="宋体" w:hAnsi="宋体"/>
          <w:sz w:val="22"/>
          <w:szCs w:val="22"/>
        </w:rPr>
        <w:t>3.严格执行国家及省市卫生部门关于除“有害生物”的管理规定，接受省、市、区爱卫办监督检查和考核。</w:t>
      </w:r>
    </w:p>
    <w:p w14:paraId="7FF93A67">
      <w:pPr>
        <w:snapToGrid w:val="0"/>
        <w:spacing w:line="336" w:lineRule="auto"/>
        <w:ind w:right="199" w:rightChars="95" w:firstLine="440" w:firstLineChars="200"/>
        <w:rPr>
          <w:rFonts w:ascii="宋体" w:hAnsi="宋体"/>
          <w:sz w:val="22"/>
          <w:szCs w:val="22"/>
        </w:rPr>
      </w:pPr>
      <w:r>
        <w:rPr>
          <w:rFonts w:hint="eastAsia" w:ascii="宋体" w:hAnsi="宋体"/>
          <w:sz w:val="22"/>
          <w:szCs w:val="22"/>
        </w:rPr>
        <w:t>4.乙方进行现场消杀时，应提前告知甲方，并须做好现场的安全防范和警示措施，若因乙方消杀工作有不当之处，造成了人员意外伤害，或引起投诉、起诉等，由乙方承担所有法律责任。</w:t>
      </w:r>
    </w:p>
    <w:p w14:paraId="56D323FF">
      <w:pPr>
        <w:snapToGrid w:val="0"/>
        <w:spacing w:line="336" w:lineRule="auto"/>
        <w:ind w:right="199" w:rightChars="95" w:firstLine="440" w:firstLineChars="200"/>
        <w:rPr>
          <w:rFonts w:ascii="宋体" w:hAnsi="宋体"/>
          <w:sz w:val="22"/>
          <w:szCs w:val="22"/>
        </w:rPr>
      </w:pPr>
      <w:r>
        <w:rPr>
          <w:rFonts w:hint="eastAsia" w:ascii="宋体" w:hAnsi="宋体"/>
          <w:sz w:val="22"/>
          <w:szCs w:val="22"/>
        </w:rPr>
        <w:t>5.乙方进场消杀的所有工作人员均应持证上岗，统一着装、佩戴工作证上岗，文明作业。</w:t>
      </w:r>
    </w:p>
    <w:p w14:paraId="350E8D2C">
      <w:pPr>
        <w:snapToGrid w:val="0"/>
        <w:spacing w:line="336" w:lineRule="auto"/>
        <w:ind w:right="199" w:rightChars="95" w:firstLine="440" w:firstLineChars="200"/>
        <w:rPr>
          <w:rFonts w:ascii="宋体" w:hAnsi="宋体"/>
          <w:sz w:val="22"/>
          <w:szCs w:val="22"/>
        </w:rPr>
      </w:pPr>
      <w:r>
        <w:rPr>
          <w:rFonts w:hint="eastAsia" w:ascii="宋体" w:hAnsi="宋体"/>
          <w:sz w:val="22"/>
          <w:szCs w:val="22"/>
        </w:rPr>
        <w:t>6.为了满足项目的管理和质量要求，乙方须配置专职人员，严格按照要求执行现场各项管理、指导监督、检查、协调沟通工作。</w:t>
      </w:r>
    </w:p>
    <w:p w14:paraId="6B57A224">
      <w:pPr>
        <w:snapToGrid w:val="0"/>
        <w:spacing w:line="336" w:lineRule="auto"/>
        <w:ind w:right="199" w:rightChars="95" w:firstLine="476" w:firstLineChars="200"/>
        <w:rPr>
          <w:rFonts w:ascii="宋体" w:hAnsi="宋体" w:cs="宋体"/>
          <w:spacing w:val="9"/>
          <w:sz w:val="22"/>
          <w:szCs w:val="22"/>
        </w:rPr>
      </w:pPr>
      <w:r>
        <w:rPr>
          <w:rFonts w:hint="eastAsia" w:ascii="宋体" w:hAnsi="宋体" w:cs="宋体"/>
          <w:spacing w:val="9"/>
          <w:sz w:val="22"/>
          <w:szCs w:val="22"/>
        </w:rPr>
        <w:t>7.因乙方或乙方工作人员过错(包括乙方工作人员的违法、犯罪行为)给甲方师生员工</w:t>
      </w:r>
      <w:r>
        <w:rPr>
          <w:rFonts w:hint="eastAsia" w:ascii="宋体" w:hAnsi="宋体" w:cs="宋体"/>
          <w:spacing w:val="9"/>
          <w:sz w:val="22"/>
          <w:szCs w:val="22"/>
          <w:lang w:val="en-US" w:eastAsia="zh-Hans"/>
        </w:rPr>
        <w:t>及其他消杀场所内人员</w:t>
      </w:r>
      <w:r>
        <w:rPr>
          <w:rFonts w:hint="eastAsia" w:ascii="宋体" w:hAnsi="宋体" w:cs="宋体"/>
          <w:spacing w:val="9"/>
          <w:sz w:val="22"/>
          <w:szCs w:val="22"/>
        </w:rPr>
        <w:t>造</w:t>
      </w:r>
      <w:r>
        <w:rPr>
          <w:rFonts w:hint="eastAsia" w:ascii="宋体" w:hAnsi="宋体" w:cs="宋体"/>
          <w:spacing w:val="5"/>
          <w:sz w:val="22"/>
          <w:szCs w:val="22"/>
        </w:rPr>
        <w:t>成</w:t>
      </w:r>
      <w:r>
        <w:rPr>
          <w:rFonts w:hint="eastAsia" w:ascii="宋体" w:hAnsi="宋体" w:cs="宋体"/>
          <w:spacing w:val="9"/>
          <w:sz w:val="22"/>
          <w:szCs w:val="22"/>
        </w:rPr>
        <w:t>人身、财产损失，由乙方承担相应法律责任。</w:t>
      </w:r>
    </w:p>
    <w:p w14:paraId="36D49FD5">
      <w:pPr>
        <w:snapToGrid w:val="0"/>
        <w:spacing w:line="336" w:lineRule="auto"/>
        <w:ind w:right="199" w:rightChars="95" w:firstLine="512" w:firstLineChars="200"/>
        <w:rPr>
          <w:rFonts w:ascii="宋体" w:hAnsi="宋体" w:cs="宋体"/>
          <w:spacing w:val="9"/>
          <w:sz w:val="22"/>
          <w:szCs w:val="22"/>
        </w:rPr>
      </w:pPr>
      <w:r>
        <w:rPr>
          <w:rFonts w:hint="eastAsia" w:ascii="宋体" w:hAnsi="宋体" w:cs="宋体"/>
          <w:spacing w:val="18"/>
          <w:sz w:val="22"/>
          <w:szCs w:val="22"/>
        </w:rPr>
        <w:t>8.</w:t>
      </w:r>
      <w:r>
        <w:rPr>
          <w:rFonts w:hint="eastAsia" w:ascii="宋体" w:hAnsi="宋体" w:cs="宋体"/>
          <w:spacing w:val="9"/>
          <w:sz w:val="22"/>
          <w:szCs w:val="22"/>
        </w:rPr>
        <w:t>如乙方工作人员发生工伤、意外、劳动纠纷以及违法违纪事件，一切责任均由乙方负责。</w:t>
      </w:r>
    </w:p>
    <w:p w14:paraId="09C348A1">
      <w:pPr>
        <w:snapToGrid w:val="0"/>
        <w:spacing w:line="336" w:lineRule="auto"/>
        <w:ind w:right="199" w:rightChars="95" w:firstLine="512" w:firstLineChars="200"/>
        <w:rPr>
          <w:rFonts w:ascii="宋体" w:hAnsi="宋体" w:cs="宋体"/>
          <w:spacing w:val="9"/>
          <w:sz w:val="22"/>
          <w:szCs w:val="22"/>
        </w:rPr>
      </w:pPr>
      <w:r>
        <w:rPr>
          <w:rFonts w:hint="eastAsia" w:ascii="宋体" w:hAnsi="宋体" w:cs="宋体"/>
          <w:spacing w:val="18"/>
          <w:sz w:val="22"/>
          <w:szCs w:val="22"/>
        </w:rPr>
        <w:t>9.</w:t>
      </w:r>
      <w:r>
        <w:rPr>
          <w:rFonts w:hint="eastAsia" w:ascii="宋体" w:hAnsi="宋体" w:cs="宋体"/>
          <w:spacing w:val="15"/>
          <w:sz w:val="22"/>
          <w:szCs w:val="22"/>
        </w:rPr>
        <w:t>注</w:t>
      </w:r>
      <w:r>
        <w:rPr>
          <w:rFonts w:hint="eastAsia" w:ascii="宋体" w:hAnsi="宋体" w:cs="宋体"/>
          <w:spacing w:val="9"/>
          <w:sz w:val="22"/>
          <w:szCs w:val="22"/>
        </w:rPr>
        <w:t>意药物的使用安全，投(施)药时需在防护的部位告之甲方并采取有效的防护措施。</w:t>
      </w:r>
    </w:p>
    <w:p w14:paraId="5B7CFC03">
      <w:pPr>
        <w:snapToGrid w:val="0"/>
        <w:spacing w:line="336" w:lineRule="auto"/>
        <w:ind w:right="199" w:rightChars="95" w:firstLine="528" w:firstLineChars="200"/>
        <w:rPr>
          <w:rFonts w:ascii="宋体" w:hAnsi="宋体" w:cs="宋体"/>
          <w:spacing w:val="7"/>
          <w:sz w:val="22"/>
          <w:szCs w:val="22"/>
        </w:rPr>
      </w:pPr>
      <w:r>
        <w:rPr>
          <w:rFonts w:hint="eastAsia" w:ascii="宋体" w:hAnsi="宋体" w:cs="宋体"/>
          <w:spacing w:val="22"/>
          <w:sz w:val="22"/>
          <w:szCs w:val="22"/>
        </w:rPr>
        <w:t>1</w:t>
      </w:r>
      <w:r>
        <w:rPr>
          <w:rFonts w:hint="eastAsia" w:ascii="宋体" w:hAnsi="宋体" w:cs="宋体"/>
          <w:spacing w:val="12"/>
          <w:sz w:val="22"/>
          <w:szCs w:val="22"/>
        </w:rPr>
        <w:t>0.消杀所使用的灭鼠虫害药物按国家规定或使用爱卫办推荐认可的药物，严禁使用急性灭</w:t>
      </w:r>
      <w:r>
        <w:rPr>
          <w:rFonts w:hint="eastAsia" w:ascii="宋体" w:hAnsi="宋体" w:cs="宋体"/>
          <w:sz w:val="22"/>
          <w:szCs w:val="22"/>
        </w:rPr>
        <w:t xml:space="preserve"> </w:t>
      </w:r>
      <w:r>
        <w:rPr>
          <w:rFonts w:hint="eastAsia" w:ascii="宋体" w:hAnsi="宋体" w:cs="宋体"/>
          <w:spacing w:val="8"/>
          <w:sz w:val="22"/>
          <w:szCs w:val="22"/>
        </w:rPr>
        <w:t>鼠药或其它禁用药物</w:t>
      </w:r>
      <w:r>
        <w:rPr>
          <w:rFonts w:hint="eastAsia" w:ascii="宋体" w:hAnsi="宋体" w:cs="宋体"/>
          <w:spacing w:val="7"/>
          <w:sz w:val="22"/>
          <w:szCs w:val="22"/>
        </w:rPr>
        <w:t>。</w:t>
      </w:r>
    </w:p>
    <w:p w14:paraId="1B4533B8">
      <w:pPr>
        <w:snapToGrid w:val="0"/>
        <w:spacing w:line="336" w:lineRule="auto"/>
        <w:ind w:right="199" w:rightChars="95" w:firstLine="512" w:firstLineChars="200"/>
        <w:rPr>
          <w:rFonts w:ascii="宋体" w:hAnsi="宋体" w:cs="宋体"/>
          <w:spacing w:val="9"/>
          <w:sz w:val="22"/>
          <w:szCs w:val="22"/>
        </w:rPr>
      </w:pPr>
      <w:r>
        <w:rPr>
          <w:rFonts w:hint="eastAsia" w:ascii="宋体" w:hAnsi="宋体" w:cs="宋体"/>
          <w:spacing w:val="18"/>
          <w:sz w:val="22"/>
          <w:szCs w:val="22"/>
        </w:rPr>
        <w:t>11</w:t>
      </w:r>
      <w:r>
        <w:rPr>
          <w:rFonts w:hint="eastAsia" w:ascii="宋体" w:hAnsi="宋体" w:cs="宋体"/>
          <w:spacing w:val="12"/>
          <w:sz w:val="22"/>
          <w:szCs w:val="22"/>
        </w:rPr>
        <w:t>.</w:t>
      </w:r>
      <w:r>
        <w:rPr>
          <w:rFonts w:hint="eastAsia" w:ascii="宋体" w:hAnsi="宋体" w:cs="宋体"/>
          <w:spacing w:val="9"/>
          <w:sz w:val="22"/>
          <w:szCs w:val="22"/>
        </w:rPr>
        <w:t>乙方在甲方现场工作完毕后，要将一切药品和消杀工具带走，不得存放于消杀服务区。</w:t>
      </w:r>
    </w:p>
    <w:p w14:paraId="32C9795E">
      <w:pPr>
        <w:snapToGrid w:val="0"/>
        <w:spacing w:line="336" w:lineRule="auto"/>
        <w:ind w:right="199" w:rightChars="95" w:firstLine="456" w:firstLineChars="200"/>
        <w:rPr>
          <w:rFonts w:ascii="宋体" w:hAnsi="宋体" w:cs="宋体"/>
          <w:spacing w:val="2"/>
          <w:sz w:val="22"/>
          <w:szCs w:val="22"/>
        </w:rPr>
      </w:pPr>
      <w:r>
        <w:rPr>
          <w:rFonts w:hint="eastAsia" w:ascii="宋体" w:hAnsi="宋体" w:cs="宋体"/>
          <w:spacing w:val="4"/>
          <w:sz w:val="22"/>
          <w:szCs w:val="22"/>
        </w:rPr>
        <w:t>12.如果有标靶害虫出现，乙方</w:t>
      </w:r>
      <w:r>
        <w:rPr>
          <w:rFonts w:hint="eastAsia" w:ascii="宋体" w:hAnsi="宋体" w:cs="宋体"/>
          <w:spacing w:val="2"/>
          <w:sz w:val="22"/>
          <w:szCs w:val="22"/>
        </w:rPr>
        <w:t>须在接到有效投诉(有效投诉电话为</w:t>
      </w:r>
      <w:r>
        <w:rPr>
          <w:rFonts w:hint="eastAsia" w:ascii="宋体" w:hAnsi="宋体" w:cs="宋体"/>
          <w:spacing w:val="2"/>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spacing w:val="2"/>
          <w:sz w:val="22"/>
          <w:szCs w:val="22"/>
        </w:rPr>
        <w:t>)</w:t>
      </w:r>
      <w:r>
        <w:rPr>
          <w:rFonts w:hint="eastAsia" w:ascii="宋体" w:hAnsi="宋体" w:cs="宋体"/>
          <w:sz w:val="22"/>
          <w:szCs w:val="22"/>
        </w:rPr>
        <w:t xml:space="preserve"> </w:t>
      </w:r>
      <w:r>
        <w:rPr>
          <w:rFonts w:hint="eastAsia" w:ascii="宋体" w:hAnsi="宋体" w:cs="宋体"/>
          <w:spacing w:val="2"/>
          <w:sz w:val="22"/>
          <w:szCs w:val="22"/>
        </w:rPr>
        <w:t>后 24 小时内作出反馈，提供现场处理。</w:t>
      </w:r>
    </w:p>
    <w:p w14:paraId="48C0E3A7">
      <w:pPr>
        <w:snapToGrid w:val="0"/>
        <w:spacing w:line="336" w:lineRule="auto"/>
        <w:ind w:right="199" w:rightChars="95" w:firstLine="488" w:firstLineChars="200"/>
        <w:rPr>
          <w:rFonts w:hint="eastAsia" w:ascii="宋体" w:hAnsi="宋体" w:cs="宋体"/>
          <w:spacing w:val="6"/>
          <w:sz w:val="22"/>
          <w:szCs w:val="22"/>
        </w:rPr>
      </w:pPr>
      <w:r>
        <w:rPr>
          <w:rFonts w:hint="eastAsia" w:ascii="宋体" w:hAnsi="宋体" w:cs="宋体"/>
          <w:spacing w:val="12"/>
          <w:sz w:val="22"/>
          <w:szCs w:val="22"/>
        </w:rPr>
        <w:t>13.每次服务结束时，乙方需要把所使用的药物空瓶、捕捉到的老鼠尸体带出厂区，并进</w:t>
      </w:r>
      <w:r>
        <w:rPr>
          <w:rFonts w:hint="eastAsia" w:ascii="宋体" w:hAnsi="宋体" w:cs="宋体"/>
          <w:spacing w:val="5"/>
          <w:sz w:val="22"/>
          <w:szCs w:val="22"/>
        </w:rPr>
        <w:t>行</w:t>
      </w:r>
      <w:r>
        <w:rPr>
          <w:rFonts w:hint="eastAsia" w:ascii="宋体" w:hAnsi="宋体" w:cs="宋体"/>
          <w:spacing w:val="6"/>
          <w:sz w:val="22"/>
          <w:szCs w:val="22"/>
        </w:rPr>
        <w:t>环保处理。</w:t>
      </w:r>
    </w:p>
    <w:p w14:paraId="08163425">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85" w:firstLineChars="166"/>
        <w:jc w:val="left"/>
        <w:textAlignment w:val="auto"/>
        <w:rPr>
          <w:rFonts w:ascii="宋体" w:hAnsi="宋体" w:eastAsia="宋体" w:cs="宋体"/>
          <w:sz w:val="22"/>
          <w:szCs w:val="22"/>
        </w:rPr>
      </w:pPr>
      <w:r>
        <w:rPr>
          <w:rFonts w:hint="eastAsia" w:ascii="宋体" w:hAnsi="宋体" w:cs="宋体"/>
          <w:spacing w:val="6"/>
          <w:sz w:val="22"/>
          <w:szCs w:val="22"/>
          <w:lang w:val="en-US" w:eastAsia="zh-CN"/>
        </w:rPr>
        <w:t>14.</w:t>
      </w:r>
      <w:r>
        <w:rPr>
          <w:rFonts w:ascii="宋体" w:hAnsi="宋体" w:eastAsia="宋体" w:cs="宋体"/>
          <w:sz w:val="22"/>
          <w:szCs w:val="22"/>
        </w:rPr>
        <w:t>安全管理：消杀人员对所投放的药物具有监管责任，对于裸露在外的药物</w:t>
      </w:r>
      <w:r>
        <w:rPr>
          <w:rFonts w:hint="eastAsia" w:ascii="宋体" w:hAnsi="宋体" w:cs="宋体"/>
          <w:sz w:val="22"/>
          <w:szCs w:val="22"/>
          <w:lang w:val="en-US" w:eastAsia="zh-CN"/>
        </w:rPr>
        <w:t>必</w:t>
      </w:r>
      <w:r>
        <w:rPr>
          <w:rFonts w:ascii="宋体" w:hAnsi="宋体" w:eastAsia="宋体" w:cs="宋体"/>
          <w:sz w:val="22"/>
          <w:szCs w:val="22"/>
        </w:rPr>
        <w:t>须要有明显标牌的提醒提示，如未按规程操作，相应承担相关法律责任。</w:t>
      </w:r>
    </w:p>
    <w:p w14:paraId="77D5693F">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ascii="宋体" w:hAnsi="宋体" w:eastAsia="宋体" w:cs="宋体"/>
          <w:sz w:val="22"/>
          <w:szCs w:val="22"/>
        </w:rPr>
      </w:pPr>
      <w:r>
        <w:rPr>
          <w:rFonts w:hint="eastAsia" w:ascii="宋体" w:hAnsi="宋体" w:cs="宋体"/>
          <w:sz w:val="22"/>
          <w:szCs w:val="22"/>
          <w:lang w:val="en-US" w:eastAsia="zh-CN"/>
        </w:rPr>
        <w:t>15.</w:t>
      </w:r>
      <w:r>
        <w:rPr>
          <w:rFonts w:ascii="宋体" w:hAnsi="宋体" w:eastAsia="宋体" w:cs="宋体"/>
          <w:sz w:val="22"/>
          <w:szCs w:val="22"/>
        </w:rPr>
        <w:t>校园外环境的灭蟑、灭鼠填缝堵洞处理</w:t>
      </w:r>
      <w:r>
        <w:rPr>
          <w:rFonts w:hint="eastAsia" w:ascii="宋体" w:hAnsi="宋体" w:cs="宋体"/>
          <w:sz w:val="22"/>
          <w:szCs w:val="22"/>
          <w:lang w:eastAsia="zh-CN"/>
        </w:rPr>
        <w:t>：</w:t>
      </w:r>
      <w:r>
        <w:rPr>
          <w:rFonts w:ascii="宋体" w:hAnsi="宋体" w:eastAsia="宋体" w:cs="宋体"/>
          <w:sz w:val="22"/>
          <w:szCs w:val="22"/>
        </w:rPr>
        <w:t>在服务期间负责</w:t>
      </w:r>
      <w:r>
        <w:rPr>
          <w:rFonts w:hint="eastAsia" w:ascii="宋体" w:hAnsi="宋体" w:cs="宋体"/>
          <w:sz w:val="22"/>
          <w:szCs w:val="22"/>
          <w:lang w:val="en-US" w:eastAsia="zh-CN"/>
        </w:rPr>
        <w:t>发现</w:t>
      </w:r>
      <w:r>
        <w:rPr>
          <w:rFonts w:ascii="宋体" w:hAnsi="宋体" w:eastAsia="宋体" w:cs="宋体"/>
          <w:sz w:val="22"/>
          <w:szCs w:val="22"/>
        </w:rPr>
        <w:t>鼠洞</w:t>
      </w:r>
      <w:r>
        <w:rPr>
          <w:rFonts w:hint="eastAsia" w:ascii="宋体" w:hAnsi="宋体" w:cs="宋体"/>
          <w:sz w:val="22"/>
          <w:szCs w:val="22"/>
          <w:lang w:val="en-US" w:eastAsia="zh-CN"/>
        </w:rPr>
        <w:t>并上报</w:t>
      </w:r>
      <w:r>
        <w:rPr>
          <w:rFonts w:ascii="宋体" w:hAnsi="宋体" w:eastAsia="宋体" w:cs="宋体"/>
          <w:sz w:val="22"/>
          <w:szCs w:val="22"/>
        </w:rPr>
        <w:t>、填缝处理和维护毒饵盒等；</w:t>
      </w:r>
    </w:p>
    <w:p w14:paraId="114E71D6">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16.对甲方提出的异议及改进意见应及时采纳，对甲方向乙方通报发现的鼠类和卫生害虫的活动情况及时采取措施予以防治。突发性的情况出现时，乙方应在收到甲方通知后2小时内到场处理。</w:t>
      </w:r>
    </w:p>
    <w:p w14:paraId="232258CD">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17.乙方保证具备提供本合同约定服务的</w:t>
      </w:r>
      <w:r>
        <w:rPr>
          <w:rFonts w:hint="eastAsia" w:ascii="宋体" w:hAnsi="宋体" w:cs="宋体"/>
          <w:sz w:val="22"/>
          <w:szCs w:val="22"/>
        </w:rPr>
        <w:t>相关资质和能力</w:t>
      </w:r>
      <w:r>
        <w:rPr>
          <w:rFonts w:hint="eastAsia" w:ascii="宋体" w:hAnsi="宋体" w:cs="宋体"/>
          <w:sz w:val="22"/>
          <w:szCs w:val="22"/>
          <w:lang w:val="en-US" w:eastAsia="zh-CN"/>
        </w:rPr>
        <w:t>，并确保合同期限内相关资质和能力的持续有效，否则因此遭致政府部门处罚，乙方承担全部责任，若处罚期间影响甲方消杀服务，甲方可视情节严重性要求乙方给予赔偿，并保留解除本合同的权利。</w:t>
      </w:r>
    </w:p>
    <w:p w14:paraId="6B9416E0">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18.乙方有义务配合甲方参加相关资质文件的审核、评选，按甲方要求提供相关书面材料。乙方在承包的工作范围内，甲方如因消杀工作未达到当地要求，被有关社会职能部门（环卫、城管等）处罚，该罚款由乙方承担。</w:t>
      </w:r>
    </w:p>
    <w:p w14:paraId="273D6DD2">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19.乙方应根据服务标准作业，经甲方验收不合格应无条件返工，产生的费用由乙方自行承担。二次返工仍不能达到标准的，甲方可扣除</w:t>
      </w:r>
      <w:r>
        <w:rPr>
          <w:rFonts w:hint="eastAsia" w:ascii="宋体" w:hAnsi="宋体" w:cs="宋体"/>
          <w:sz w:val="22"/>
          <w:szCs w:val="22"/>
        </w:rPr>
        <w:t>年度消杀服务费</w:t>
      </w:r>
      <w:r>
        <w:rPr>
          <w:rFonts w:hint="eastAsia" w:ascii="宋体" w:hAnsi="宋体" w:cs="宋体"/>
          <w:sz w:val="22"/>
          <w:szCs w:val="22"/>
          <w:lang w:val="en-US" w:eastAsia="zh-CN"/>
        </w:rPr>
        <w:t>的 10% ，累计出现三次，甲方有权解除合同，乙方应返还剩余期限的费用。</w:t>
      </w:r>
    </w:p>
    <w:p w14:paraId="31A0383F">
      <w:pPr>
        <w:pStyle w:val="9"/>
        <w:keepNext w:val="0"/>
        <w:keepLines w:val="0"/>
        <w:pageBreakBefore w:val="0"/>
        <w:widowControl w:val="0"/>
        <w:kinsoku/>
        <w:wordWrap/>
        <w:overflowPunct/>
        <w:topLinePunct w:val="0"/>
        <w:autoSpaceDE/>
        <w:autoSpaceDN/>
        <w:bidi w:val="0"/>
        <w:adjustRightInd/>
        <w:snapToGrid/>
        <w:spacing w:line="336" w:lineRule="auto"/>
        <w:ind w:left="0" w:leftChars="0" w:right="199" w:rightChars="95" w:firstLine="365" w:firstLineChars="166"/>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20.</w:t>
      </w:r>
      <w:r>
        <w:rPr>
          <w:rFonts w:hint="eastAsia" w:ascii="宋体" w:hAnsi="宋体" w:cs="宋体"/>
          <w:sz w:val="22"/>
          <w:szCs w:val="22"/>
        </w:rPr>
        <w:t>乙方在为甲方提供服务期内须规范劳动用工管理，为</w:t>
      </w:r>
      <w:r>
        <w:rPr>
          <w:rFonts w:hint="eastAsia" w:ascii="宋体" w:hAnsi="宋体" w:cs="宋体"/>
          <w:sz w:val="22"/>
          <w:szCs w:val="22"/>
          <w:lang w:val="en-US" w:eastAsia="zh-CN"/>
        </w:rPr>
        <w:t>相关</w:t>
      </w:r>
      <w:r>
        <w:rPr>
          <w:rFonts w:hint="eastAsia" w:ascii="宋体" w:hAnsi="宋体" w:cs="宋体"/>
          <w:sz w:val="22"/>
          <w:szCs w:val="22"/>
        </w:rPr>
        <w:t>人员购买保险，自行承担相应的用工责任和安全责任，乙方人员在甲方</w:t>
      </w:r>
      <w:r>
        <w:rPr>
          <w:rFonts w:hint="eastAsia" w:ascii="宋体" w:hAnsi="宋体" w:cs="宋体"/>
          <w:sz w:val="22"/>
          <w:szCs w:val="22"/>
          <w:lang w:val="en-US" w:eastAsia="zh-CN"/>
        </w:rPr>
        <w:t>处作业</w:t>
      </w:r>
      <w:r>
        <w:rPr>
          <w:rFonts w:hint="eastAsia" w:ascii="宋体" w:hAnsi="宋体" w:cs="宋体"/>
          <w:sz w:val="22"/>
          <w:szCs w:val="22"/>
        </w:rPr>
        <w:t>过程中若因故意、过失或疾病发生人身伤亡或</w:t>
      </w:r>
      <w:r>
        <w:rPr>
          <w:rFonts w:hint="eastAsia" w:ascii="宋体" w:hAnsi="宋体" w:cs="宋体"/>
          <w:sz w:val="22"/>
          <w:szCs w:val="22"/>
          <w:lang w:val="en-US" w:eastAsia="zh-CN"/>
        </w:rPr>
        <w:t>财产损害</w:t>
      </w:r>
      <w:r>
        <w:rPr>
          <w:rFonts w:hint="eastAsia" w:ascii="宋体" w:hAnsi="宋体" w:cs="宋体"/>
          <w:sz w:val="22"/>
          <w:szCs w:val="22"/>
        </w:rPr>
        <w:t>等，由乙方自行承担相应的法律责任和全部赔偿责任</w:t>
      </w:r>
      <w:r>
        <w:rPr>
          <w:rFonts w:hint="eastAsia" w:ascii="宋体" w:hAnsi="宋体" w:cs="宋体"/>
          <w:sz w:val="22"/>
          <w:szCs w:val="22"/>
          <w:lang w:eastAsia="zh-CN"/>
        </w:rPr>
        <w:t>，</w:t>
      </w:r>
      <w:r>
        <w:rPr>
          <w:rFonts w:hint="eastAsia" w:ascii="宋体" w:hAnsi="宋体" w:cs="宋体"/>
          <w:sz w:val="22"/>
          <w:szCs w:val="22"/>
          <w:lang w:val="en-US" w:eastAsia="zh-CN"/>
        </w:rPr>
        <w:t>与甲方无关</w:t>
      </w:r>
      <w:r>
        <w:rPr>
          <w:rFonts w:hint="eastAsia" w:ascii="宋体" w:hAnsi="宋体" w:cs="宋体"/>
          <w:sz w:val="22"/>
          <w:szCs w:val="22"/>
        </w:rPr>
        <w:t>。甲方因此承担赔偿责任的，</w:t>
      </w:r>
      <w:r>
        <w:rPr>
          <w:rFonts w:hint="eastAsia" w:ascii="宋体" w:hAnsi="宋体" w:cs="宋体"/>
          <w:sz w:val="22"/>
          <w:szCs w:val="22"/>
          <w:lang w:val="en-US" w:eastAsia="zh-CN"/>
        </w:rPr>
        <w:t>乙方应足额赔偿</w:t>
      </w:r>
      <w:r>
        <w:rPr>
          <w:rFonts w:hint="eastAsia" w:ascii="宋体" w:hAnsi="宋体" w:cs="宋体"/>
          <w:sz w:val="22"/>
          <w:szCs w:val="22"/>
        </w:rPr>
        <w:t>。</w:t>
      </w:r>
    </w:p>
    <w:p w14:paraId="1EB3EFA2">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七、违约责任</w:t>
      </w:r>
    </w:p>
    <w:p w14:paraId="0603D837">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1.甲方无正当理由未按照约定付款，并且在收到乙方书面通知30个日历天内仍未付款的，则自逾期付款的第31个日历天起，甲方应按合同订立时中国人民银行授权全国银行间同业拆借中心公布的1年期贷款市场报价利率向乙方支付违约金。</w:t>
      </w:r>
    </w:p>
    <w:p w14:paraId="7F19541F">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2.乙方提供服务及其服务成果经甲方验收不合格的，乙方应采取措施在甲方要求的时间内进行整改，且甲方有权要求乙方赔偿服务延期的损失。如在甲方要求的时间内整改仍达不到要求，甲方有权委托第三方进行整改，整改发生的所有费用由乙方承担。如乙方提供的服务严重不符合本合同约定的，甲方有权解除合同，乙方须返还甲方已支付的全部款项，且应向甲方支付</w:t>
      </w:r>
      <w:r>
        <w:rPr>
          <w:rFonts w:hint="eastAsia" w:ascii="宋体" w:hAnsi="宋体" w:cs="宋体"/>
          <w:sz w:val="22"/>
          <w:szCs w:val="22"/>
        </w:rPr>
        <w:t>年度消杀服务费</w:t>
      </w:r>
      <w:r>
        <w:rPr>
          <w:rFonts w:hint="eastAsia" w:ascii="宋体" w:hAnsi="宋体" w:cs="宋体"/>
          <w:spacing w:val="4"/>
          <w:sz w:val="22"/>
          <w:szCs w:val="22"/>
        </w:rPr>
        <w:t>的20%作为违约金。</w:t>
      </w:r>
    </w:p>
    <w:p w14:paraId="5B84C4D3">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3.由于乙方原因未能按照本合同约定或甲方要求时间完成服务内容并完成验收的，每逾期一个日历天，乙方应向甲方支付</w:t>
      </w:r>
      <w:r>
        <w:rPr>
          <w:rFonts w:hint="eastAsia" w:ascii="宋体" w:hAnsi="宋体" w:cs="宋体"/>
          <w:sz w:val="22"/>
          <w:szCs w:val="22"/>
        </w:rPr>
        <w:t>年度消杀服务费</w:t>
      </w:r>
      <w:r>
        <w:rPr>
          <w:rFonts w:hint="eastAsia" w:ascii="宋体" w:hAnsi="宋体" w:cs="宋体"/>
          <w:spacing w:val="4"/>
          <w:sz w:val="22"/>
          <w:szCs w:val="22"/>
        </w:rPr>
        <w:t>的</w:t>
      </w:r>
      <w:r>
        <w:rPr>
          <w:rFonts w:hint="eastAsia" w:ascii="宋体" w:hAnsi="宋体" w:cs="宋体"/>
          <w:spacing w:val="4"/>
          <w:sz w:val="22"/>
          <w:szCs w:val="22"/>
          <w:lang w:val="en-US" w:eastAsia="zh-CN"/>
        </w:rPr>
        <w:t>1</w:t>
      </w:r>
      <w:r>
        <w:rPr>
          <w:rFonts w:hint="eastAsia" w:ascii="宋体" w:hAnsi="宋体" w:cs="宋体"/>
          <w:spacing w:val="4"/>
          <w:sz w:val="22"/>
          <w:szCs w:val="22"/>
        </w:rPr>
        <w:t>%作为违约金。</w:t>
      </w:r>
    </w:p>
    <w:p w14:paraId="41E858EF">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4.因乙方原因造成甲方损失和第三方索赔的（统称损失），由乙方承担赔偿责任。在双方就索赔达成一致之前，甲方有权暂停合同付款，且不承担违约责任，甲方有权选择要求乙方暂停履行合同或继续完成合同约定的其他义务。</w:t>
      </w:r>
    </w:p>
    <w:p w14:paraId="71F66888">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lang w:val="en-US" w:eastAsia="zh-CN"/>
        </w:rPr>
        <w:t>5</w:t>
      </w:r>
      <w:r>
        <w:rPr>
          <w:rFonts w:hint="eastAsia" w:ascii="宋体" w:hAnsi="宋体" w:cs="宋体"/>
          <w:spacing w:val="4"/>
          <w:sz w:val="22"/>
          <w:szCs w:val="22"/>
        </w:rPr>
        <w:t>.未经甲方书面同意，乙方不得将合同项下的任何权利义务转让给第三人，否则，甲方有权解除合同，乙方应向甲方支付相当于</w:t>
      </w:r>
      <w:r>
        <w:rPr>
          <w:rFonts w:hint="eastAsia" w:ascii="宋体" w:hAnsi="宋体" w:cs="宋体"/>
          <w:sz w:val="22"/>
          <w:szCs w:val="22"/>
        </w:rPr>
        <w:t>年度消杀服务费</w:t>
      </w:r>
      <w:r>
        <w:rPr>
          <w:rFonts w:hint="eastAsia" w:ascii="宋体" w:hAnsi="宋体" w:cs="宋体"/>
          <w:spacing w:val="4"/>
          <w:sz w:val="22"/>
          <w:szCs w:val="22"/>
        </w:rPr>
        <w:t>20%的违约金。</w:t>
      </w:r>
    </w:p>
    <w:p w14:paraId="5D5894E6">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lang w:val="en-US" w:eastAsia="zh-CN"/>
        </w:rPr>
        <w:t>6</w:t>
      </w:r>
      <w:r>
        <w:rPr>
          <w:rFonts w:hint="eastAsia" w:ascii="宋体" w:hAnsi="宋体" w:cs="宋体"/>
          <w:spacing w:val="4"/>
          <w:sz w:val="22"/>
          <w:szCs w:val="22"/>
        </w:rPr>
        <w:t>.本合同约定的违约金不足以弥补因违约行为给守约方带来的损失的，守约方有权继续追索。</w:t>
      </w:r>
    </w:p>
    <w:p w14:paraId="2E8A4596">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lang w:val="en-US" w:eastAsia="zh-CN"/>
        </w:rPr>
        <w:t>7</w:t>
      </w:r>
      <w:r>
        <w:rPr>
          <w:rFonts w:hint="eastAsia" w:ascii="宋体" w:hAnsi="宋体" w:cs="宋体"/>
          <w:spacing w:val="4"/>
          <w:sz w:val="22"/>
          <w:szCs w:val="22"/>
        </w:rPr>
        <w:t>.甲方有权在本合同或甲方（含甲方关联方）与乙方（含乙方关联方）签署的其他合同项下的任意一期应付款中扣除乙方根据本合同应承担的违约金、赔偿金及其他合同约定费用，乙方对此无异议。</w:t>
      </w:r>
    </w:p>
    <w:p w14:paraId="700ACC0F">
      <w:pPr>
        <w:snapToGrid w:val="0"/>
        <w:spacing w:line="336" w:lineRule="auto"/>
        <w:ind w:right="199" w:rightChars="95"/>
        <w:rPr>
          <w:rFonts w:ascii="宋体" w:hAnsi="宋体" w:cs="宋体"/>
          <w:b/>
          <w:bCs/>
          <w:spacing w:val="16"/>
          <w:sz w:val="22"/>
          <w:szCs w:val="22"/>
        </w:rPr>
      </w:pPr>
      <w:r>
        <w:rPr>
          <w:rFonts w:hint="eastAsia" w:ascii="宋体" w:hAnsi="宋体" w:cs="宋体"/>
          <w:b/>
          <w:bCs/>
          <w:spacing w:val="16"/>
          <w:sz w:val="22"/>
          <w:szCs w:val="22"/>
        </w:rPr>
        <w:t>八、不可抗力</w:t>
      </w:r>
    </w:p>
    <w:p w14:paraId="6E827566">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1.以下情形为合同订立时不能预见、不能避免并不能克服的不可抗力事件：包括严重自然灾害，如强台风、7级以上地震、洪水、瘟疫等；政府行为，如征收、征用；社会异常事件，如罢工、骚乱；其他：   。</w:t>
      </w:r>
    </w:p>
    <w:p w14:paraId="5C53ED54">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2.合同执行期间如发生不可抗力事件致使本合同不能继续履行，甲乙双方应当在友好协商的前提下变更或者解除本合同，双方互不承担违约责任。</w:t>
      </w:r>
    </w:p>
    <w:p w14:paraId="52F0215B">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3.本合同任何一方因不可抗力不能履行或不能完全履行本合同义务时，应当在不可抗力发生后的3个工作日内及时通知另一方。</w:t>
      </w:r>
    </w:p>
    <w:p w14:paraId="2662275E">
      <w:pPr>
        <w:snapToGrid w:val="0"/>
        <w:spacing w:line="336" w:lineRule="auto"/>
        <w:ind w:right="199" w:rightChars="95" w:firstLine="456" w:firstLineChars="200"/>
        <w:rPr>
          <w:rFonts w:ascii="宋体" w:hAnsi="宋体" w:cs="宋体"/>
          <w:spacing w:val="4"/>
          <w:sz w:val="22"/>
          <w:szCs w:val="22"/>
        </w:rPr>
      </w:pPr>
      <w:r>
        <w:rPr>
          <w:rFonts w:hint="eastAsia" w:ascii="宋体" w:hAnsi="宋体" w:cs="宋体"/>
          <w:spacing w:val="4"/>
          <w:sz w:val="22"/>
          <w:szCs w:val="22"/>
        </w:rPr>
        <w:t>4.不可抗力事件发生时，双方均应尽一切合理的努力减轻不可抗力造成的后果，不可抗力造成的后果消失，合同可以继续履行的，合同期限自动顺延，双方均无须为此承担违约责任。</w:t>
      </w:r>
    </w:p>
    <w:p w14:paraId="24DAC396">
      <w:pPr>
        <w:snapToGrid w:val="0"/>
        <w:spacing w:line="336" w:lineRule="auto"/>
        <w:ind w:right="-197" w:rightChars="-94"/>
        <w:rPr>
          <w:rFonts w:ascii="宋体" w:hAnsi="宋体" w:cs="宋体"/>
          <w:b/>
          <w:bCs/>
          <w:spacing w:val="16"/>
          <w:sz w:val="22"/>
          <w:szCs w:val="22"/>
        </w:rPr>
      </w:pPr>
      <w:r>
        <w:rPr>
          <w:rFonts w:hint="eastAsia" w:ascii="宋体" w:hAnsi="宋体" w:cs="宋体"/>
          <w:b/>
          <w:bCs/>
          <w:spacing w:val="16"/>
          <w:sz w:val="22"/>
          <w:szCs w:val="22"/>
        </w:rPr>
        <w:t>九、通知及送达</w:t>
      </w:r>
    </w:p>
    <w:p w14:paraId="06D7606A">
      <w:pPr>
        <w:snapToGrid w:val="0"/>
        <w:spacing w:line="336" w:lineRule="auto"/>
        <w:ind w:right="-197" w:rightChars="-94" w:firstLine="456" w:firstLineChars="200"/>
        <w:rPr>
          <w:rFonts w:ascii="宋体" w:hAnsi="宋体" w:cs="宋体"/>
          <w:spacing w:val="4"/>
          <w:sz w:val="22"/>
          <w:szCs w:val="22"/>
        </w:rPr>
      </w:pPr>
      <w:r>
        <w:rPr>
          <w:rFonts w:hint="eastAsia" w:ascii="宋体" w:hAnsi="宋体" w:cs="宋体"/>
          <w:spacing w:val="4"/>
          <w:sz w:val="22"/>
          <w:szCs w:val="22"/>
        </w:rPr>
        <w:t>1.双方授权代表信息情况：</w:t>
      </w:r>
    </w:p>
    <w:tbl>
      <w:tblPr>
        <w:tblStyle w:val="4"/>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735"/>
        <w:gridCol w:w="3810"/>
      </w:tblGrid>
      <w:tr w14:paraId="2E7A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004523BE">
            <w:pPr>
              <w:jc w:val="center"/>
              <w:rPr>
                <w:rFonts w:ascii="宋体" w:hAnsi="宋体" w:cs="宋体"/>
                <w:spacing w:val="4"/>
                <w:sz w:val="22"/>
                <w:szCs w:val="22"/>
              </w:rPr>
            </w:pPr>
            <w:r>
              <w:rPr>
                <w:rFonts w:hint="eastAsia" w:ascii="宋体" w:hAnsi="宋体" w:cs="宋体"/>
                <w:spacing w:val="4"/>
                <w:sz w:val="22"/>
                <w:szCs w:val="22"/>
              </w:rPr>
              <w:t>内容</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7BA7F60F">
            <w:pPr>
              <w:jc w:val="center"/>
              <w:rPr>
                <w:rFonts w:ascii="宋体" w:hAnsi="宋体" w:cs="宋体"/>
                <w:spacing w:val="4"/>
                <w:sz w:val="22"/>
                <w:szCs w:val="22"/>
              </w:rPr>
            </w:pPr>
            <w:r>
              <w:rPr>
                <w:rFonts w:hint="eastAsia" w:ascii="宋体" w:hAnsi="宋体" w:cs="宋体"/>
                <w:spacing w:val="4"/>
                <w:sz w:val="22"/>
                <w:szCs w:val="22"/>
              </w:rPr>
              <w:t>甲方</w:t>
            </w:r>
          </w:p>
        </w:tc>
        <w:tc>
          <w:tcPr>
            <w:tcW w:w="3810" w:type="dxa"/>
            <w:tcBorders>
              <w:top w:val="single" w:color="auto" w:sz="4" w:space="0"/>
              <w:left w:val="single" w:color="auto" w:sz="4" w:space="0"/>
              <w:bottom w:val="single" w:color="auto" w:sz="4" w:space="0"/>
              <w:right w:val="single" w:color="auto" w:sz="4" w:space="0"/>
            </w:tcBorders>
            <w:noWrap w:val="0"/>
            <w:vAlign w:val="center"/>
          </w:tcPr>
          <w:p w14:paraId="12B03468">
            <w:pPr>
              <w:jc w:val="center"/>
              <w:rPr>
                <w:rFonts w:ascii="宋体" w:hAnsi="宋体" w:cs="宋体"/>
                <w:spacing w:val="4"/>
                <w:sz w:val="22"/>
                <w:szCs w:val="22"/>
              </w:rPr>
            </w:pPr>
            <w:r>
              <w:rPr>
                <w:rFonts w:hint="eastAsia" w:ascii="宋体" w:hAnsi="宋体" w:cs="宋体"/>
                <w:spacing w:val="4"/>
                <w:sz w:val="22"/>
                <w:szCs w:val="22"/>
              </w:rPr>
              <w:t>乙方</w:t>
            </w:r>
          </w:p>
        </w:tc>
      </w:tr>
      <w:tr w14:paraId="324C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12FBA073">
            <w:pPr>
              <w:jc w:val="center"/>
              <w:rPr>
                <w:rFonts w:ascii="宋体" w:hAnsi="宋体" w:cs="宋体"/>
                <w:spacing w:val="4"/>
                <w:sz w:val="22"/>
                <w:szCs w:val="22"/>
              </w:rPr>
            </w:pPr>
            <w:r>
              <w:rPr>
                <w:rFonts w:hint="eastAsia" w:ascii="宋体" w:hAnsi="宋体" w:cs="宋体"/>
                <w:spacing w:val="4"/>
                <w:sz w:val="22"/>
                <w:szCs w:val="22"/>
              </w:rPr>
              <w:t>授权代表姓名</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63E864C9">
            <w:pPr>
              <w:jc w:val="center"/>
              <w:rPr>
                <w:rFonts w:hint="default" w:ascii="宋体" w:hAnsi="宋体" w:eastAsia="宋体" w:cs="宋体"/>
                <w:spacing w:val="4"/>
                <w:sz w:val="22"/>
                <w:szCs w:val="22"/>
                <w:highlight w:val="none"/>
                <w:lang w:val="en-US" w:eastAsia="zh-CN"/>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656A1DE0">
            <w:pPr>
              <w:jc w:val="center"/>
              <w:rPr>
                <w:rFonts w:hint="eastAsia" w:ascii="宋体" w:hAnsi="宋体" w:eastAsia="宋体" w:cs="宋体"/>
                <w:spacing w:val="4"/>
                <w:sz w:val="22"/>
                <w:szCs w:val="22"/>
                <w:lang w:val="en-US" w:eastAsia="zh-CN"/>
              </w:rPr>
            </w:pPr>
          </w:p>
        </w:tc>
      </w:tr>
      <w:tr w14:paraId="7046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45451922">
            <w:pPr>
              <w:jc w:val="center"/>
              <w:rPr>
                <w:rFonts w:ascii="宋体" w:hAnsi="宋体" w:cs="宋体"/>
                <w:spacing w:val="4"/>
                <w:sz w:val="22"/>
                <w:szCs w:val="22"/>
              </w:rPr>
            </w:pPr>
            <w:r>
              <w:rPr>
                <w:rFonts w:hint="eastAsia" w:ascii="宋体" w:hAnsi="宋体" w:cs="宋体"/>
                <w:spacing w:val="4"/>
                <w:sz w:val="22"/>
                <w:szCs w:val="22"/>
              </w:rPr>
              <w:t>身份证号</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3CE97707">
            <w:pPr>
              <w:jc w:val="center"/>
              <w:rPr>
                <w:sz w:val="22"/>
                <w:szCs w:val="22"/>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509645E1">
            <w:pPr>
              <w:jc w:val="center"/>
              <w:rPr>
                <w:rFonts w:hint="default" w:ascii="宋体" w:hAnsi="宋体" w:eastAsia="宋体" w:cs="宋体"/>
                <w:spacing w:val="4"/>
                <w:sz w:val="22"/>
                <w:szCs w:val="22"/>
                <w:lang w:val="en-US" w:eastAsia="zh-CN"/>
              </w:rPr>
            </w:pPr>
          </w:p>
        </w:tc>
      </w:tr>
      <w:tr w14:paraId="779D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6CFA7DB0">
            <w:pPr>
              <w:jc w:val="center"/>
              <w:rPr>
                <w:rFonts w:ascii="宋体" w:hAnsi="宋体" w:cs="宋体"/>
                <w:spacing w:val="4"/>
                <w:sz w:val="22"/>
                <w:szCs w:val="22"/>
              </w:rPr>
            </w:pPr>
            <w:r>
              <w:rPr>
                <w:rFonts w:hint="eastAsia" w:ascii="宋体" w:hAnsi="宋体" w:cs="宋体"/>
                <w:spacing w:val="4"/>
                <w:sz w:val="22"/>
                <w:szCs w:val="22"/>
              </w:rPr>
              <w:t>联系电话</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2FA65E24">
            <w:pPr>
              <w:jc w:val="center"/>
              <w:rPr>
                <w:sz w:val="22"/>
                <w:szCs w:val="22"/>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3D7BCEB3">
            <w:pPr>
              <w:jc w:val="center"/>
              <w:rPr>
                <w:rFonts w:hint="default" w:ascii="宋体" w:hAnsi="宋体" w:eastAsia="宋体" w:cs="宋体"/>
                <w:spacing w:val="4"/>
                <w:sz w:val="22"/>
                <w:szCs w:val="22"/>
                <w:lang w:val="en-US" w:eastAsia="zh-CN"/>
              </w:rPr>
            </w:pPr>
          </w:p>
        </w:tc>
      </w:tr>
      <w:tr w14:paraId="78CB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4CE24B2F">
            <w:pPr>
              <w:jc w:val="center"/>
              <w:rPr>
                <w:rFonts w:ascii="宋体" w:hAnsi="宋体" w:cs="宋体"/>
                <w:spacing w:val="4"/>
                <w:sz w:val="22"/>
                <w:szCs w:val="22"/>
              </w:rPr>
            </w:pPr>
            <w:r>
              <w:rPr>
                <w:rFonts w:hint="eastAsia" w:ascii="宋体" w:hAnsi="宋体" w:cs="宋体"/>
                <w:spacing w:val="4"/>
                <w:sz w:val="22"/>
                <w:szCs w:val="22"/>
              </w:rPr>
              <w:t>联系地址</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6CD27A80">
            <w:pPr>
              <w:jc w:val="center"/>
              <w:rPr>
                <w:rFonts w:ascii="宋体" w:hAnsi="宋体" w:cs="宋体"/>
                <w:spacing w:val="4"/>
                <w:sz w:val="22"/>
                <w:szCs w:val="22"/>
                <w:highlight w:val="none"/>
              </w:rPr>
            </w:pPr>
            <w:r>
              <w:rPr>
                <w:rFonts w:hint="eastAsia" w:ascii="宋体" w:hAnsi="宋体" w:cs="宋体"/>
                <w:spacing w:val="4"/>
                <w:sz w:val="22"/>
                <w:szCs w:val="22"/>
                <w:highlight w:val="none"/>
              </w:rPr>
              <w:t>沈阳市浑河区泗水街66号</w:t>
            </w:r>
          </w:p>
        </w:tc>
        <w:tc>
          <w:tcPr>
            <w:tcW w:w="3810" w:type="dxa"/>
            <w:tcBorders>
              <w:top w:val="single" w:color="auto" w:sz="4" w:space="0"/>
              <w:left w:val="single" w:color="auto" w:sz="4" w:space="0"/>
              <w:bottom w:val="single" w:color="auto" w:sz="4" w:space="0"/>
              <w:right w:val="single" w:color="auto" w:sz="4" w:space="0"/>
            </w:tcBorders>
            <w:noWrap w:val="0"/>
            <w:vAlign w:val="center"/>
          </w:tcPr>
          <w:p w14:paraId="015EC545">
            <w:pPr>
              <w:jc w:val="center"/>
              <w:rPr>
                <w:rFonts w:ascii="宋体" w:hAnsi="宋体" w:cs="宋体"/>
                <w:spacing w:val="4"/>
                <w:sz w:val="22"/>
                <w:szCs w:val="22"/>
              </w:rPr>
            </w:pPr>
          </w:p>
        </w:tc>
      </w:tr>
      <w:tr w14:paraId="6663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573A1253">
            <w:pPr>
              <w:jc w:val="center"/>
              <w:rPr>
                <w:rFonts w:ascii="宋体" w:hAnsi="宋体" w:cs="宋体"/>
                <w:spacing w:val="4"/>
                <w:sz w:val="22"/>
                <w:szCs w:val="22"/>
              </w:rPr>
            </w:pPr>
            <w:r>
              <w:rPr>
                <w:rFonts w:hint="eastAsia" w:ascii="宋体" w:hAnsi="宋体" w:cs="宋体"/>
                <w:spacing w:val="4"/>
                <w:sz w:val="22"/>
                <w:szCs w:val="22"/>
              </w:rPr>
              <w:t>电子邮箱</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03BFC4F8">
            <w:pPr>
              <w:jc w:val="center"/>
              <w:rPr>
                <w:sz w:val="22"/>
                <w:szCs w:val="22"/>
              </w:rPr>
            </w:pPr>
          </w:p>
        </w:tc>
        <w:tc>
          <w:tcPr>
            <w:tcW w:w="3810" w:type="dxa"/>
            <w:tcBorders>
              <w:top w:val="single" w:color="auto" w:sz="4" w:space="0"/>
              <w:left w:val="single" w:color="auto" w:sz="4" w:space="0"/>
              <w:bottom w:val="single" w:color="auto" w:sz="4" w:space="0"/>
              <w:right w:val="single" w:color="auto" w:sz="4" w:space="0"/>
            </w:tcBorders>
            <w:noWrap w:val="0"/>
            <w:vAlign w:val="center"/>
          </w:tcPr>
          <w:p w14:paraId="2FEBB82E">
            <w:pPr>
              <w:jc w:val="center"/>
              <w:rPr>
                <w:rFonts w:hint="default" w:ascii="宋体" w:hAnsi="宋体" w:eastAsia="宋体" w:cs="宋体"/>
                <w:spacing w:val="4"/>
                <w:sz w:val="22"/>
                <w:szCs w:val="22"/>
                <w:lang w:val="en-US" w:eastAsia="zh-CN"/>
              </w:rPr>
            </w:pPr>
          </w:p>
        </w:tc>
      </w:tr>
      <w:tr w14:paraId="1E8A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759" w:type="dxa"/>
            <w:tcBorders>
              <w:top w:val="single" w:color="auto" w:sz="4" w:space="0"/>
              <w:left w:val="single" w:color="auto" w:sz="4" w:space="0"/>
              <w:bottom w:val="single" w:color="auto" w:sz="4" w:space="0"/>
              <w:right w:val="single" w:color="auto" w:sz="4" w:space="0"/>
            </w:tcBorders>
            <w:noWrap w:val="0"/>
            <w:vAlign w:val="center"/>
          </w:tcPr>
          <w:p w14:paraId="647939D0">
            <w:pPr>
              <w:jc w:val="center"/>
              <w:rPr>
                <w:rFonts w:ascii="宋体" w:hAnsi="宋体" w:cs="宋体"/>
                <w:spacing w:val="4"/>
                <w:sz w:val="22"/>
                <w:szCs w:val="22"/>
              </w:rPr>
            </w:pPr>
            <w:r>
              <w:rPr>
                <w:rFonts w:hint="eastAsia" w:ascii="宋体" w:hAnsi="宋体" w:cs="宋体"/>
                <w:spacing w:val="4"/>
                <w:sz w:val="22"/>
                <w:szCs w:val="22"/>
              </w:rPr>
              <w:t>代表权限</w:t>
            </w:r>
          </w:p>
        </w:tc>
        <w:tc>
          <w:tcPr>
            <w:tcW w:w="3735" w:type="dxa"/>
            <w:tcBorders>
              <w:top w:val="single" w:color="auto" w:sz="4" w:space="0"/>
              <w:left w:val="single" w:color="auto" w:sz="4" w:space="0"/>
              <w:bottom w:val="single" w:color="auto" w:sz="4" w:space="0"/>
              <w:right w:val="single" w:color="auto" w:sz="4" w:space="0"/>
            </w:tcBorders>
            <w:noWrap w:val="0"/>
            <w:vAlign w:val="center"/>
          </w:tcPr>
          <w:p w14:paraId="175A228F">
            <w:pPr>
              <w:jc w:val="left"/>
              <w:rPr>
                <w:rFonts w:ascii="宋体" w:hAnsi="宋体" w:cs="宋体"/>
                <w:spacing w:val="4"/>
                <w:sz w:val="22"/>
                <w:szCs w:val="22"/>
              </w:rPr>
            </w:pPr>
            <w:r>
              <w:rPr>
                <w:rFonts w:hint="eastAsia" w:ascii="宋体" w:hAnsi="宋体" w:cs="宋体"/>
                <w:spacing w:val="4"/>
                <w:sz w:val="22"/>
                <w:szCs w:val="22"/>
              </w:rPr>
              <w:t>代表甲方向乙方提供合同约定的资料、文件，签收乙方发送的通知、函件、提交的工作成果，向乙方发送通知、函件，但关于工作成果和结算款项的确认等事项须经甲方盖章后生效</w:t>
            </w:r>
          </w:p>
        </w:tc>
        <w:tc>
          <w:tcPr>
            <w:tcW w:w="3810" w:type="dxa"/>
            <w:tcBorders>
              <w:top w:val="single" w:color="auto" w:sz="4" w:space="0"/>
              <w:left w:val="single" w:color="auto" w:sz="4" w:space="0"/>
              <w:bottom w:val="single" w:color="auto" w:sz="4" w:space="0"/>
              <w:right w:val="single" w:color="auto" w:sz="4" w:space="0"/>
            </w:tcBorders>
            <w:noWrap w:val="0"/>
            <w:vAlign w:val="center"/>
          </w:tcPr>
          <w:p w14:paraId="27778643">
            <w:pPr>
              <w:jc w:val="left"/>
              <w:rPr>
                <w:rFonts w:ascii="宋体" w:hAnsi="宋体" w:cs="宋体"/>
                <w:spacing w:val="4"/>
                <w:sz w:val="22"/>
                <w:szCs w:val="22"/>
              </w:rPr>
            </w:pPr>
            <w:r>
              <w:rPr>
                <w:rFonts w:hint="eastAsia" w:ascii="宋体" w:hAnsi="宋体" w:cs="宋体"/>
                <w:spacing w:val="4"/>
                <w:sz w:val="22"/>
                <w:szCs w:val="22"/>
              </w:rPr>
              <w:t>代表乙方签收甲方提供的资料、文件、通知、函件，向甲方提交工作成果，向甲方发送通知、函件</w:t>
            </w:r>
          </w:p>
        </w:tc>
      </w:tr>
    </w:tbl>
    <w:p w14:paraId="0CCF4907">
      <w:pPr>
        <w:snapToGrid w:val="0"/>
        <w:spacing w:line="336" w:lineRule="auto"/>
        <w:ind w:right="0" w:rightChars="0" w:firstLine="456" w:firstLineChars="200"/>
        <w:rPr>
          <w:rFonts w:hint="eastAsia" w:ascii="宋体" w:hAnsi="宋体" w:cs="宋体"/>
          <w:spacing w:val="4"/>
          <w:sz w:val="22"/>
          <w:szCs w:val="22"/>
        </w:rPr>
      </w:pPr>
    </w:p>
    <w:p w14:paraId="62839382">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2.甲乙双方应指定授权代表作为本合同履行的联系人。任何一方授权代表变更或解除授权的应提前3日书面告知对方。未履行书面告知义务的，视为未变更或解除授权，不利后果由未履行书面告知方承担。</w:t>
      </w:r>
    </w:p>
    <w:p w14:paraId="38D95DE4">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3.甲乙双方之间的任何通知必须以书面进行，书面方式指：挂号信、快递、电子邮件、专人送达等能够明确表现载体内容的方式。</w:t>
      </w:r>
    </w:p>
    <w:p w14:paraId="33AE55BF">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 xml:space="preserve">4.甲乙双方确认双方的联系信息均以本条载明的联系方式为准，如任何一方联系信息有变更，变更方应在变更前3个日历日内以书面形式通知对方。因一方提供的联系信息不准确或地址变更未及时履行书面告知义务的，由该方自行承担不利后果。 </w:t>
      </w:r>
    </w:p>
    <w:p w14:paraId="035FA82F">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5.甲乙双方一致确认：以电子邮件方式通知对方的，发出成功时间视为通知到达时间；以专人派送方式通知对方的，则送达时间应按收件一方签收之日期为准；以快递等信件方式通知对方的，另一方应及时予以签收，若另一方无法签收、拒绝签收或信件被退回的，均视为通知方已履行了通知义务（在寄出3日后（本市）/7日后（外埠）视为送达）。</w:t>
      </w:r>
    </w:p>
    <w:p w14:paraId="7EFDDA97">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6.本条约定的通讯送达方式适用于双方为履行本合同而进行的日常沟通，亦适用于双方之间因本合同履行发生的争议进入仲裁、民事诉讼程序（含一审、二审、再审以及执行程序）后法律文书的送达。</w:t>
      </w:r>
    </w:p>
    <w:p w14:paraId="7A0CE159">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7.本合同约定由甲方盖章确认的文件，甲方可以加盖符合《电子签名法》的可靠电子印章，并通过电子邮件的方式发送给乙方。甲方亦可以向乙方邮寄电子用印文件的彩色打印件，双方一致确认，该等电子用印文件的彩色打印件视同原件。</w:t>
      </w:r>
    </w:p>
    <w:p w14:paraId="4858DD28">
      <w:pPr>
        <w:snapToGrid w:val="0"/>
        <w:spacing w:line="336" w:lineRule="auto"/>
        <w:ind w:right="0" w:rightChars="0"/>
        <w:rPr>
          <w:rFonts w:ascii="宋体" w:hAnsi="宋体" w:cs="宋体"/>
          <w:b/>
          <w:bCs/>
          <w:spacing w:val="16"/>
          <w:sz w:val="22"/>
          <w:szCs w:val="22"/>
        </w:rPr>
      </w:pPr>
      <w:r>
        <w:rPr>
          <w:rFonts w:hint="eastAsia" w:ascii="宋体" w:hAnsi="宋体" w:cs="宋体"/>
          <w:b/>
          <w:bCs/>
          <w:spacing w:val="16"/>
          <w:sz w:val="22"/>
          <w:szCs w:val="22"/>
        </w:rPr>
        <w:t>十、 法律适用及争议解决方式</w:t>
      </w:r>
    </w:p>
    <w:p w14:paraId="7A8EBBD3">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1.本合同的成立、解释、效力、终止或履行等均适用中华人民共和国法律（港、澳、台地区法律除外）。</w:t>
      </w:r>
    </w:p>
    <w:p w14:paraId="17B49C12">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2.凡因本合同引起的或与本合同有关的争议，双方应当友好协商解决。协商解决不成的，双方均同意将前述争议提交甲方住所地有管辖权的人民法院管辖。在诉讼过程中，除所争议事项之外，本合同的其他部分不应受诉讼的影响，且双方应继续履行其在本合同项下的义务。</w:t>
      </w:r>
    </w:p>
    <w:p w14:paraId="4A7C7DCA">
      <w:pPr>
        <w:snapToGrid w:val="0"/>
        <w:spacing w:line="336" w:lineRule="auto"/>
        <w:ind w:right="0" w:rightChars="0"/>
        <w:rPr>
          <w:rFonts w:ascii="宋体" w:hAnsi="宋体" w:cs="宋体"/>
          <w:b/>
          <w:bCs/>
          <w:spacing w:val="16"/>
          <w:sz w:val="22"/>
          <w:szCs w:val="22"/>
        </w:rPr>
      </w:pPr>
      <w:r>
        <w:rPr>
          <w:rFonts w:hint="eastAsia" w:ascii="宋体" w:hAnsi="宋体" w:cs="宋体"/>
          <w:b/>
          <w:bCs/>
          <w:spacing w:val="16"/>
          <w:sz w:val="22"/>
          <w:szCs w:val="22"/>
        </w:rPr>
        <w:t>十一、补充约定</w:t>
      </w:r>
    </w:p>
    <w:p w14:paraId="5EDDB515">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 xml:space="preserve">    无  </w:t>
      </w:r>
    </w:p>
    <w:p w14:paraId="01E40386">
      <w:pPr>
        <w:snapToGrid w:val="0"/>
        <w:spacing w:line="336" w:lineRule="auto"/>
        <w:ind w:right="0" w:rightChars="0"/>
        <w:rPr>
          <w:rFonts w:ascii="宋体" w:hAnsi="宋体" w:cs="宋体"/>
          <w:b/>
          <w:bCs/>
          <w:spacing w:val="16"/>
          <w:sz w:val="22"/>
          <w:szCs w:val="22"/>
        </w:rPr>
      </w:pPr>
      <w:r>
        <w:rPr>
          <w:rFonts w:hint="eastAsia" w:ascii="宋体" w:hAnsi="宋体" w:cs="宋体"/>
          <w:b/>
          <w:bCs/>
          <w:spacing w:val="16"/>
          <w:sz w:val="22"/>
          <w:szCs w:val="22"/>
        </w:rPr>
        <w:t>十二、合同生效及其它</w:t>
      </w:r>
    </w:p>
    <w:p w14:paraId="79DDA933">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1.本合同自双方盖章之日起生效。</w:t>
      </w:r>
    </w:p>
    <w:p w14:paraId="6DB4D3D4">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2.本合同一式</w:t>
      </w:r>
      <w:r>
        <w:rPr>
          <w:rFonts w:hint="eastAsia" w:ascii="宋体" w:hAnsi="宋体" w:cs="宋体"/>
          <w:spacing w:val="4"/>
          <w:sz w:val="22"/>
          <w:szCs w:val="22"/>
          <w:lang w:val="en-US" w:eastAsia="zh-CN"/>
        </w:rPr>
        <w:t>贰</w:t>
      </w:r>
      <w:r>
        <w:rPr>
          <w:rFonts w:hint="eastAsia" w:ascii="宋体" w:hAnsi="宋体" w:cs="宋体"/>
          <w:spacing w:val="4"/>
          <w:sz w:val="22"/>
          <w:szCs w:val="22"/>
        </w:rPr>
        <w:t>份，甲方执</w:t>
      </w:r>
      <w:r>
        <w:rPr>
          <w:rFonts w:hint="eastAsia" w:ascii="宋体" w:hAnsi="宋体" w:cs="宋体"/>
          <w:spacing w:val="4"/>
          <w:sz w:val="22"/>
          <w:szCs w:val="22"/>
          <w:lang w:val="en-US" w:eastAsia="zh-CN"/>
        </w:rPr>
        <w:t>壹</w:t>
      </w:r>
      <w:r>
        <w:rPr>
          <w:rFonts w:hint="eastAsia" w:ascii="宋体" w:hAnsi="宋体" w:cs="宋体"/>
          <w:spacing w:val="4"/>
          <w:sz w:val="22"/>
          <w:szCs w:val="22"/>
        </w:rPr>
        <w:t>份，乙方执</w:t>
      </w:r>
      <w:r>
        <w:rPr>
          <w:rFonts w:hint="eastAsia" w:ascii="宋体" w:hAnsi="宋体" w:cs="宋体"/>
          <w:spacing w:val="4"/>
          <w:sz w:val="22"/>
          <w:szCs w:val="22"/>
          <w:lang w:val="en-US" w:eastAsia="zh-CN"/>
        </w:rPr>
        <w:t>壹</w:t>
      </w:r>
      <w:r>
        <w:rPr>
          <w:rFonts w:hint="eastAsia" w:ascii="宋体" w:hAnsi="宋体" w:cs="宋体"/>
          <w:spacing w:val="4"/>
          <w:sz w:val="22"/>
          <w:szCs w:val="22"/>
        </w:rPr>
        <w:t>份，具有同等法律效力。</w:t>
      </w:r>
    </w:p>
    <w:p w14:paraId="3D6CB397">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3.本合同如有未尽事宜，双方可协商另行订立补充协议。任何关于本合同的变更事项，应签署书面的补充协议。双方另行签署的补充协议与本合同具有同等法律效力。</w:t>
      </w:r>
    </w:p>
    <w:p w14:paraId="0FD729AB">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4.本合同附件为本合同的有效组成部分，与本合同正文具有同等法律效力。附件与正文约定不一致的，以正文约定为准。本合同附件包括：</w:t>
      </w:r>
    </w:p>
    <w:p w14:paraId="010CED15">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附件一：营业执照</w:t>
      </w:r>
    </w:p>
    <w:p w14:paraId="443F80F2">
      <w:pPr>
        <w:snapToGrid w:val="0"/>
        <w:spacing w:line="336" w:lineRule="auto"/>
        <w:ind w:right="0" w:rightChars="0" w:firstLine="456" w:firstLineChars="200"/>
        <w:rPr>
          <w:rFonts w:ascii="宋体" w:hAnsi="宋体" w:cs="宋体"/>
          <w:spacing w:val="4"/>
          <w:sz w:val="22"/>
          <w:szCs w:val="22"/>
        </w:rPr>
      </w:pPr>
      <w:r>
        <w:rPr>
          <w:rFonts w:hint="eastAsia" w:ascii="宋体" w:hAnsi="宋体" w:cs="宋体"/>
          <w:spacing w:val="4"/>
          <w:sz w:val="22"/>
          <w:szCs w:val="22"/>
        </w:rPr>
        <w:t>附件二：需求明细及价格</w:t>
      </w:r>
    </w:p>
    <w:p w14:paraId="6B6382A9">
      <w:pPr>
        <w:snapToGrid w:val="0"/>
        <w:spacing w:before="78" w:beforeLines="25" w:after="78" w:afterLines="25" w:line="288" w:lineRule="auto"/>
        <w:ind w:firstLine="440" w:firstLineChars="200"/>
        <w:jc w:val="center"/>
        <w:rPr>
          <w:rFonts w:ascii="宋体" w:hAnsi="宋体"/>
          <w:kern w:val="32"/>
          <w:sz w:val="22"/>
          <w:szCs w:val="22"/>
        </w:rPr>
      </w:pPr>
      <w:r>
        <w:rPr>
          <w:rFonts w:hint="eastAsia" w:ascii="宋体" w:hAnsi="宋体"/>
          <w:kern w:val="32"/>
          <w:sz w:val="22"/>
          <w:szCs w:val="22"/>
        </w:rPr>
        <w:t>（以下无正文）</w:t>
      </w:r>
    </w:p>
    <w:p w14:paraId="678D019C">
      <w:pPr>
        <w:pStyle w:val="13"/>
        <w:keepNext w:val="0"/>
        <w:keepLines w:val="0"/>
        <w:pageBreakBefore w:val="0"/>
        <w:widowControl w:val="0"/>
        <w:kinsoku/>
        <w:wordWrap/>
        <w:overflowPunct/>
        <w:topLinePunct w:val="0"/>
        <w:autoSpaceDE/>
        <w:autoSpaceDN/>
        <w:bidi w:val="0"/>
        <w:adjustRightInd/>
        <w:snapToGrid w:val="0"/>
        <w:spacing w:before="78" w:beforeLines="25" w:after="78" w:afterLines="25" w:line="432" w:lineRule="auto"/>
        <w:ind w:firstLine="0" w:firstLineChars="0"/>
        <w:textAlignment w:val="auto"/>
        <w:rPr>
          <w:rFonts w:hint="eastAsia" w:ascii="宋体" w:hAnsi="宋体"/>
          <w:b/>
          <w:bCs/>
          <w:color w:val="000000"/>
          <w:kern w:val="0"/>
          <w:sz w:val="22"/>
          <w:szCs w:val="22"/>
          <w:lang w:val="en-US" w:eastAsia="zh-CN"/>
        </w:rPr>
      </w:pPr>
      <w:r>
        <w:rPr>
          <w:rFonts w:hint="eastAsia" w:ascii="宋体" w:hAnsi="宋体"/>
          <w:b/>
          <w:bCs/>
          <w:color w:val="000000"/>
          <w:kern w:val="0"/>
          <w:sz w:val="22"/>
          <w:szCs w:val="22"/>
        </w:rPr>
        <w:t>甲方：</w:t>
      </w:r>
      <w:r>
        <w:rPr>
          <w:rFonts w:hint="eastAsia" w:ascii="宋体" w:hAnsi="宋体"/>
          <w:b/>
          <w:bCs/>
          <w:color w:val="000000"/>
          <w:kern w:val="0"/>
          <w:sz w:val="22"/>
          <w:szCs w:val="22"/>
          <w:lang w:val="en-US" w:eastAsia="zh-CN"/>
        </w:rPr>
        <w:t>辽宁何氏医学院</w:t>
      </w:r>
    </w:p>
    <w:p w14:paraId="7BBF8327">
      <w:pPr>
        <w:pStyle w:val="13"/>
        <w:keepNext w:val="0"/>
        <w:keepLines w:val="0"/>
        <w:pageBreakBefore w:val="0"/>
        <w:widowControl w:val="0"/>
        <w:kinsoku/>
        <w:wordWrap/>
        <w:overflowPunct/>
        <w:topLinePunct w:val="0"/>
        <w:autoSpaceDE/>
        <w:autoSpaceDN/>
        <w:bidi w:val="0"/>
        <w:adjustRightInd/>
        <w:snapToGrid w:val="0"/>
        <w:spacing w:before="78" w:beforeLines="25" w:after="78" w:afterLines="25" w:line="432" w:lineRule="auto"/>
        <w:ind w:firstLine="0" w:firstLineChars="0"/>
        <w:textAlignment w:val="auto"/>
        <w:rPr>
          <w:rFonts w:ascii="宋体" w:hAnsi="宋体"/>
          <w:b/>
          <w:bCs/>
          <w:color w:val="000000"/>
          <w:kern w:val="0"/>
          <w:sz w:val="22"/>
          <w:szCs w:val="22"/>
        </w:rPr>
      </w:pPr>
      <w:r>
        <w:rPr>
          <w:rFonts w:hint="eastAsia" w:ascii="宋体" w:hAnsi="宋体"/>
          <w:b/>
          <w:bCs/>
          <w:color w:val="000000"/>
          <w:kern w:val="0"/>
          <w:sz w:val="22"/>
          <w:szCs w:val="22"/>
          <w:lang w:val="en-US" w:eastAsia="zh-CN"/>
        </w:rPr>
        <w:t>地址：沈阳市浑南区泗水街66号</w:t>
      </w:r>
      <w:r>
        <w:rPr>
          <w:rFonts w:hint="eastAsia" w:ascii="宋体" w:hAnsi="宋体"/>
          <w:b/>
          <w:bCs/>
          <w:color w:val="000000"/>
          <w:kern w:val="0"/>
          <w:sz w:val="22"/>
          <w:szCs w:val="22"/>
        </w:rPr>
        <w:t xml:space="preserve">                                               </w:t>
      </w:r>
    </w:p>
    <w:p w14:paraId="4F10A094">
      <w:pPr>
        <w:pStyle w:val="13"/>
        <w:keepNext w:val="0"/>
        <w:keepLines w:val="0"/>
        <w:pageBreakBefore w:val="0"/>
        <w:widowControl w:val="0"/>
        <w:kinsoku/>
        <w:wordWrap/>
        <w:overflowPunct/>
        <w:topLinePunct w:val="0"/>
        <w:autoSpaceDE/>
        <w:autoSpaceDN/>
        <w:bidi w:val="0"/>
        <w:adjustRightInd/>
        <w:snapToGrid w:val="0"/>
        <w:spacing w:before="78" w:beforeLines="25" w:after="78" w:afterLines="25" w:line="432" w:lineRule="auto"/>
        <w:ind w:firstLine="0" w:firstLineChars="0"/>
        <w:textAlignment w:val="auto"/>
        <w:rPr>
          <w:rFonts w:hint="default" w:ascii="宋体" w:hAnsi="宋体" w:eastAsia="宋体"/>
          <w:b/>
          <w:bCs/>
          <w:color w:val="000000"/>
          <w:kern w:val="0"/>
          <w:sz w:val="22"/>
          <w:szCs w:val="22"/>
          <w:lang w:val="en-US" w:eastAsia="zh-CN"/>
        </w:rPr>
      </w:pPr>
      <w:r>
        <w:rPr>
          <w:rFonts w:hint="eastAsia" w:ascii="宋体" w:hAnsi="宋体"/>
          <w:b/>
          <w:bCs/>
          <w:color w:val="000000"/>
          <w:kern w:val="0"/>
          <w:sz w:val="22"/>
          <w:szCs w:val="22"/>
          <w:lang w:val="en-US" w:eastAsia="zh-CN"/>
        </w:rPr>
        <w:t>联系</w:t>
      </w:r>
      <w:r>
        <w:rPr>
          <w:rFonts w:hint="eastAsia" w:ascii="宋体" w:hAnsi="宋体"/>
          <w:b/>
          <w:bCs/>
          <w:color w:val="000000"/>
          <w:kern w:val="0"/>
          <w:sz w:val="22"/>
          <w:szCs w:val="22"/>
        </w:rPr>
        <w:t>人</w:t>
      </w:r>
      <w:r>
        <w:rPr>
          <w:rFonts w:hint="eastAsia" w:ascii="宋体" w:hAnsi="宋体"/>
          <w:b/>
          <w:bCs/>
          <w:color w:val="000000"/>
          <w:kern w:val="0"/>
          <w:sz w:val="22"/>
          <w:szCs w:val="22"/>
          <w:lang w:val="en-US" w:eastAsia="zh-CN"/>
        </w:rPr>
        <w:t>:</w:t>
      </w:r>
    </w:p>
    <w:p w14:paraId="79B39B6D">
      <w:pPr>
        <w:pStyle w:val="13"/>
        <w:keepNext w:val="0"/>
        <w:keepLines w:val="0"/>
        <w:pageBreakBefore w:val="0"/>
        <w:widowControl w:val="0"/>
        <w:kinsoku/>
        <w:wordWrap/>
        <w:overflowPunct/>
        <w:topLinePunct w:val="0"/>
        <w:autoSpaceDE/>
        <w:autoSpaceDN/>
        <w:bidi w:val="0"/>
        <w:adjustRightInd/>
        <w:snapToGrid w:val="0"/>
        <w:spacing w:before="78" w:beforeLines="25" w:after="78" w:afterLines="25" w:line="432" w:lineRule="auto"/>
        <w:ind w:firstLine="0" w:firstLineChars="0"/>
        <w:textAlignment w:val="auto"/>
        <w:rPr>
          <w:rFonts w:ascii="宋体" w:hAnsi="宋体"/>
          <w:b/>
          <w:bCs/>
          <w:color w:val="000000"/>
          <w:kern w:val="0"/>
          <w:sz w:val="22"/>
          <w:szCs w:val="22"/>
        </w:rPr>
      </w:pPr>
      <w:r>
        <w:rPr>
          <w:rFonts w:hint="eastAsia" w:ascii="宋体" w:hAnsi="宋体"/>
          <w:b/>
          <w:bCs/>
          <w:color w:val="000000"/>
          <w:kern w:val="0"/>
          <w:sz w:val="22"/>
          <w:szCs w:val="22"/>
          <w:lang w:val="en-US" w:eastAsia="zh-CN"/>
        </w:rPr>
        <w:t>联系方式</w:t>
      </w:r>
      <w:r>
        <w:rPr>
          <w:rFonts w:hint="eastAsia" w:ascii="宋体" w:hAnsi="宋体"/>
          <w:b/>
          <w:bCs/>
          <w:color w:val="000000"/>
          <w:kern w:val="0"/>
          <w:sz w:val="22"/>
          <w:szCs w:val="22"/>
        </w:rPr>
        <w:t xml:space="preserve">：           </w:t>
      </w:r>
    </w:p>
    <w:p w14:paraId="36407F78">
      <w:pPr>
        <w:pStyle w:val="9"/>
        <w:numPr>
          <w:ilvl w:val="0"/>
          <w:numId w:val="0"/>
        </w:numPr>
        <w:spacing w:line="240" w:lineRule="auto"/>
        <w:ind w:leftChars="0"/>
        <w:rPr>
          <w:rFonts w:hint="eastAsia" w:ascii="宋体" w:hAnsi="宋体" w:eastAsia="宋体" w:cs="宋体"/>
          <w:b w:val="0"/>
          <w:bCs w:val="0"/>
          <w:color w:val="auto"/>
          <w:sz w:val="22"/>
          <w:szCs w:val="22"/>
          <w:lang w:val="en-US" w:eastAsia="zh-CN"/>
        </w:rPr>
      </w:pPr>
      <w:r>
        <w:rPr>
          <w:rFonts w:hint="eastAsia" w:ascii="宋体" w:hAnsi="宋体"/>
          <w:b/>
          <w:bCs/>
          <w:color w:val="000000"/>
          <w:kern w:val="0"/>
          <w:sz w:val="22"/>
          <w:szCs w:val="22"/>
        </w:rPr>
        <w:t>签署日期：</w:t>
      </w:r>
      <w:r>
        <w:rPr>
          <w:rFonts w:hint="eastAsia" w:ascii="宋体" w:hAnsi="宋体"/>
          <w:color w:val="000000"/>
          <w:kern w:val="0"/>
          <w:sz w:val="22"/>
          <w:szCs w:val="22"/>
        </w:rPr>
        <w:t xml:space="preserve">   年   月   日</w:t>
      </w:r>
    </w:p>
    <w:p w14:paraId="79D297CC">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1EA5C294">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3F543483">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053770E9">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2F92131B">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1B26B03C">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0D5301B1">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141CCABB">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5D58D68A">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712C1DD4">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6AA4BE3F">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680856CF">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0AF73820">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4FF36094">
      <w:pPr>
        <w:pStyle w:val="9"/>
        <w:numPr>
          <w:ilvl w:val="0"/>
          <w:numId w:val="0"/>
        </w:numPr>
        <w:spacing w:line="240" w:lineRule="auto"/>
        <w:ind w:leftChars="0"/>
        <w:jc w:val="left"/>
        <w:rPr>
          <w:rFonts w:hint="eastAsia" w:ascii="宋体" w:hAnsi="宋体" w:cs="宋体"/>
          <w:b/>
          <w:bCs/>
          <w:color w:val="auto"/>
          <w:sz w:val="28"/>
          <w:szCs w:val="28"/>
          <w:lang w:val="en-US" w:eastAsia="zh-CN"/>
        </w:rPr>
      </w:pPr>
    </w:p>
    <w:p w14:paraId="1DE3AB62">
      <w:pPr>
        <w:pStyle w:val="9"/>
        <w:numPr>
          <w:ilvl w:val="0"/>
          <w:numId w:val="0"/>
        </w:numPr>
        <w:spacing w:line="240" w:lineRule="auto"/>
        <w:ind w:leftChars="0"/>
        <w:jc w:val="left"/>
        <w:rPr>
          <w:rFonts w:hint="default"/>
          <w:lang w:val="en-US" w:eastAsia="zh-CN"/>
        </w:rPr>
      </w:pPr>
      <w:r>
        <w:rPr>
          <w:rFonts w:hint="eastAsia" w:ascii="宋体" w:hAnsi="宋体" w:cs="宋体"/>
          <w:b/>
          <w:bCs/>
          <w:color w:val="auto"/>
          <w:sz w:val="28"/>
          <w:szCs w:val="28"/>
          <w:lang w:val="en-US" w:eastAsia="zh-CN"/>
        </w:rPr>
        <w:t>（三）</w:t>
      </w:r>
      <w:r>
        <w:rPr>
          <w:rFonts w:hint="eastAsia" w:ascii="宋体" w:hAnsi="宋体" w:eastAsia="宋体" w:cs="宋体"/>
          <w:b/>
          <w:bCs/>
          <w:color w:val="auto"/>
          <w:sz w:val="28"/>
          <w:szCs w:val="28"/>
          <w:lang w:val="en-US" w:eastAsia="zh-CN"/>
        </w:rPr>
        <w:t>报价一览表</w:t>
      </w:r>
      <w:bookmarkStart w:id="0" w:name="_GoBack"/>
      <w:bookmarkEnd w:id="0"/>
    </w:p>
    <w:tbl>
      <w:tblPr>
        <w:tblStyle w:val="5"/>
        <w:tblpPr w:leftFromText="180" w:rightFromText="180" w:vertAnchor="text" w:horzAnchor="page" w:tblpX="877" w:tblpY="201"/>
        <w:tblOverlap w:val="never"/>
        <w:tblW w:w="107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2427"/>
        <w:gridCol w:w="1547"/>
        <w:gridCol w:w="1400"/>
        <w:gridCol w:w="1853"/>
        <w:gridCol w:w="1786"/>
      </w:tblGrid>
      <w:tr w14:paraId="3B802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noWrap w:val="0"/>
            <w:vAlign w:val="center"/>
          </w:tcPr>
          <w:p w14:paraId="4477CD5D">
            <w:pPr>
              <w:jc w:val="center"/>
              <w:rPr>
                <w:rFonts w:ascii="宋体" w:hAnsi="宋体" w:eastAsia="宋体" w:cs="宋体"/>
                <w:color w:val="000000"/>
                <w:sz w:val="22"/>
                <w:szCs w:val="22"/>
              </w:rPr>
            </w:pPr>
            <w:r>
              <w:rPr>
                <w:rFonts w:hint="eastAsia"/>
                <w:color w:val="000000"/>
                <w:sz w:val="22"/>
                <w:szCs w:val="22"/>
              </w:rPr>
              <w:t>项目</w:t>
            </w:r>
          </w:p>
        </w:tc>
        <w:tc>
          <w:tcPr>
            <w:tcW w:w="2427" w:type="dxa"/>
            <w:noWrap w:val="0"/>
            <w:vAlign w:val="center"/>
          </w:tcPr>
          <w:p w14:paraId="43906748">
            <w:pPr>
              <w:jc w:val="center"/>
              <w:rPr>
                <w:rFonts w:ascii="宋体" w:hAnsi="宋体" w:eastAsia="宋体" w:cs="宋体"/>
                <w:color w:val="000000"/>
                <w:sz w:val="22"/>
                <w:szCs w:val="22"/>
              </w:rPr>
            </w:pPr>
            <w:r>
              <w:rPr>
                <w:rFonts w:hint="eastAsia"/>
                <w:color w:val="000000"/>
                <w:sz w:val="22"/>
                <w:szCs w:val="22"/>
              </w:rPr>
              <w:t>药械名称</w:t>
            </w:r>
          </w:p>
        </w:tc>
        <w:tc>
          <w:tcPr>
            <w:tcW w:w="1547" w:type="dxa"/>
            <w:noWrap w:val="0"/>
            <w:vAlign w:val="center"/>
          </w:tcPr>
          <w:p w14:paraId="67F8B88D">
            <w:pPr>
              <w:jc w:val="center"/>
              <w:rPr>
                <w:rFonts w:ascii="宋体" w:hAnsi="宋体" w:eastAsia="宋体" w:cs="宋体"/>
                <w:color w:val="000000"/>
                <w:sz w:val="22"/>
                <w:szCs w:val="22"/>
              </w:rPr>
            </w:pPr>
            <w:r>
              <w:rPr>
                <w:rFonts w:hint="eastAsia"/>
                <w:color w:val="000000"/>
                <w:sz w:val="22"/>
                <w:szCs w:val="22"/>
              </w:rPr>
              <w:t>规格、单位</w:t>
            </w:r>
          </w:p>
        </w:tc>
        <w:tc>
          <w:tcPr>
            <w:tcW w:w="1400" w:type="dxa"/>
            <w:noWrap w:val="0"/>
            <w:vAlign w:val="center"/>
          </w:tcPr>
          <w:p w14:paraId="6C55B6E3">
            <w:pPr>
              <w:jc w:val="center"/>
              <w:rPr>
                <w:rFonts w:ascii="宋体" w:hAnsi="宋体" w:eastAsia="宋体" w:cs="宋体"/>
                <w:color w:val="000000"/>
                <w:sz w:val="22"/>
                <w:szCs w:val="22"/>
              </w:rPr>
            </w:pPr>
            <w:r>
              <w:rPr>
                <w:rFonts w:hint="eastAsia"/>
                <w:color w:val="000000"/>
                <w:sz w:val="22"/>
                <w:szCs w:val="22"/>
                <w:lang w:val="en-US" w:eastAsia="zh-CN"/>
              </w:rPr>
              <w:t>预估</w:t>
            </w:r>
            <w:r>
              <w:rPr>
                <w:rFonts w:hint="eastAsia"/>
                <w:color w:val="000000"/>
                <w:sz w:val="22"/>
                <w:szCs w:val="22"/>
              </w:rPr>
              <w:t>量</w:t>
            </w:r>
          </w:p>
        </w:tc>
        <w:tc>
          <w:tcPr>
            <w:tcW w:w="1853" w:type="dxa"/>
            <w:noWrap w:val="0"/>
            <w:vAlign w:val="center"/>
          </w:tcPr>
          <w:p w14:paraId="77F710C5">
            <w:pPr>
              <w:jc w:val="center"/>
              <w:rPr>
                <w:rFonts w:hint="default" w:eastAsia="宋体"/>
                <w:color w:val="000000"/>
                <w:sz w:val="22"/>
                <w:szCs w:val="22"/>
                <w:lang w:val="en-US" w:eastAsia="zh-CN"/>
              </w:rPr>
            </w:pPr>
            <w:r>
              <w:rPr>
                <w:rFonts w:hint="eastAsia"/>
                <w:color w:val="000000"/>
                <w:sz w:val="22"/>
                <w:szCs w:val="22"/>
                <w:lang w:val="en-US" w:eastAsia="zh-CN"/>
              </w:rPr>
              <w:t>含税单价（元）</w:t>
            </w:r>
          </w:p>
        </w:tc>
        <w:tc>
          <w:tcPr>
            <w:tcW w:w="1786" w:type="dxa"/>
            <w:noWrap w:val="0"/>
            <w:vAlign w:val="center"/>
          </w:tcPr>
          <w:p w14:paraId="7A3211CE">
            <w:pPr>
              <w:jc w:val="center"/>
              <w:rPr>
                <w:rFonts w:hint="default"/>
                <w:color w:val="000000"/>
                <w:sz w:val="22"/>
                <w:szCs w:val="22"/>
                <w:lang w:val="en-US" w:eastAsia="zh-CN"/>
              </w:rPr>
            </w:pPr>
            <w:r>
              <w:rPr>
                <w:rFonts w:hint="eastAsia"/>
                <w:color w:val="000000"/>
                <w:sz w:val="22"/>
                <w:szCs w:val="22"/>
                <w:lang w:val="en-US" w:eastAsia="zh-CN"/>
              </w:rPr>
              <w:t>含税总价（元）</w:t>
            </w:r>
          </w:p>
        </w:tc>
      </w:tr>
      <w:tr w14:paraId="11F6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restart"/>
            <w:noWrap w:val="0"/>
            <w:vAlign w:val="center"/>
          </w:tcPr>
          <w:p w14:paraId="144018E0">
            <w:pPr>
              <w:jc w:val="center"/>
              <w:rPr>
                <w:sz w:val="22"/>
                <w:szCs w:val="22"/>
              </w:rPr>
            </w:pPr>
            <w:r>
              <w:rPr>
                <w:rFonts w:hint="eastAsia"/>
                <w:sz w:val="22"/>
                <w:szCs w:val="22"/>
              </w:rPr>
              <w:t>鼠类防制</w:t>
            </w:r>
          </w:p>
        </w:tc>
        <w:tc>
          <w:tcPr>
            <w:tcW w:w="2427" w:type="dxa"/>
            <w:noWrap w:val="0"/>
            <w:vAlign w:val="center"/>
          </w:tcPr>
          <w:p w14:paraId="417BA566">
            <w:pPr>
              <w:jc w:val="center"/>
              <w:rPr>
                <w:rFonts w:ascii="宋体" w:hAnsi="宋体" w:cs="宋体"/>
                <w:color w:val="000000"/>
                <w:sz w:val="22"/>
                <w:szCs w:val="22"/>
              </w:rPr>
            </w:pPr>
            <w:r>
              <w:rPr>
                <w:rFonts w:hint="eastAsia"/>
                <w:color w:val="000000"/>
                <w:sz w:val="22"/>
                <w:szCs w:val="22"/>
              </w:rPr>
              <w:t>卡扣式鼠饵站</w:t>
            </w:r>
          </w:p>
        </w:tc>
        <w:tc>
          <w:tcPr>
            <w:tcW w:w="1547" w:type="dxa"/>
            <w:noWrap w:val="0"/>
            <w:vAlign w:val="center"/>
          </w:tcPr>
          <w:p w14:paraId="50A93AA8">
            <w:pPr>
              <w:jc w:val="center"/>
              <w:rPr>
                <w:rFonts w:ascii="宋体" w:hAnsi="宋体" w:eastAsia="宋体" w:cs="宋体"/>
                <w:color w:val="000000"/>
                <w:sz w:val="22"/>
                <w:szCs w:val="22"/>
              </w:rPr>
            </w:pPr>
            <w:r>
              <w:rPr>
                <w:rFonts w:hint="eastAsia"/>
                <w:color w:val="000000"/>
                <w:sz w:val="22"/>
                <w:szCs w:val="22"/>
              </w:rPr>
              <w:t>个</w:t>
            </w:r>
          </w:p>
        </w:tc>
        <w:tc>
          <w:tcPr>
            <w:tcW w:w="1400" w:type="dxa"/>
            <w:noWrap w:val="0"/>
            <w:vAlign w:val="center"/>
          </w:tcPr>
          <w:p w14:paraId="484E1C91">
            <w:pPr>
              <w:jc w:val="center"/>
              <w:rPr>
                <w:rFonts w:ascii="宋体" w:hAnsi="宋体" w:eastAsia="宋体" w:cs="宋体"/>
                <w:color w:val="000000"/>
                <w:sz w:val="22"/>
                <w:szCs w:val="22"/>
              </w:rPr>
            </w:pPr>
            <w:r>
              <w:rPr>
                <w:rFonts w:hint="eastAsia" w:eastAsia="宋体"/>
                <w:color w:val="000000"/>
                <w:sz w:val="22"/>
                <w:szCs w:val="22"/>
              </w:rPr>
              <w:t>200</w:t>
            </w:r>
          </w:p>
        </w:tc>
        <w:tc>
          <w:tcPr>
            <w:tcW w:w="1853" w:type="dxa"/>
            <w:noWrap w:val="0"/>
            <w:vAlign w:val="center"/>
          </w:tcPr>
          <w:p w14:paraId="4C01860A">
            <w:pPr>
              <w:jc w:val="center"/>
              <w:rPr>
                <w:rFonts w:hint="eastAsia" w:eastAsia="宋体"/>
                <w:color w:val="000000"/>
                <w:sz w:val="22"/>
                <w:szCs w:val="22"/>
              </w:rPr>
            </w:pPr>
          </w:p>
        </w:tc>
        <w:tc>
          <w:tcPr>
            <w:tcW w:w="1786" w:type="dxa"/>
            <w:noWrap w:val="0"/>
            <w:vAlign w:val="center"/>
          </w:tcPr>
          <w:p w14:paraId="32520B7C">
            <w:pPr>
              <w:jc w:val="center"/>
              <w:rPr>
                <w:rFonts w:hint="eastAsia" w:eastAsia="宋体"/>
                <w:color w:val="000000"/>
                <w:sz w:val="22"/>
                <w:szCs w:val="22"/>
              </w:rPr>
            </w:pPr>
          </w:p>
        </w:tc>
      </w:tr>
      <w:tr w14:paraId="10C2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48EF5150">
            <w:pPr>
              <w:jc w:val="center"/>
              <w:rPr>
                <w:sz w:val="22"/>
                <w:szCs w:val="22"/>
              </w:rPr>
            </w:pPr>
          </w:p>
        </w:tc>
        <w:tc>
          <w:tcPr>
            <w:tcW w:w="2427" w:type="dxa"/>
            <w:noWrap w:val="0"/>
            <w:vAlign w:val="center"/>
          </w:tcPr>
          <w:p w14:paraId="5A9C09CB">
            <w:pPr>
              <w:jc w:val="center"/>
              <w:rPr>
                <w:rFonts w:ascii="宋体" w:hAnsi="宋体" w:eastAsia="宋体" w:cs="宋体"/>
                <w:color w:val="000000"/>
                <w:sz w:val="22"/>
                <w:szCs w:val="22"/>
              </w:rPr>
            </w:pPr>
            <w:r>
              <w:rPr>
                <w:rFonts w:hint="eastAsia"/>
                <w:color w:val="000000"/>
                <w:sz w:val="22"/>
                <w:szCs w:val="22"/>
              </w:rPr>
              <w:t>警示标识</w:t>
            </w:r>
          </w:p>
        </w:tc>
        <w:tc>
          <w:tcPr>
            <w:tcW w:w="1547" w:type="dxa"/>
            <w:noWrap w:val="0"/>
            <w:vAlign w:val="center"/>
          </w:tcPr>
          <w:p w14:paraId="1BBAA06F">
            <w:pPr>
              <w:jc w:val="center"/>
              <w:rPr>
                <w:rFonts w:ascii="宋体" w:hAnsi="宋体" w:eastAsia="宋体" w:cs="宋体"/>
                <w:color w:val="000000"/>
                <w:sz w:val="22"/>
                <w:szCs w:val="22"/>
              </w:rPr>
            </w:pPr>
            <w:r>
              <w:rPr>
                <w:rFonts w:hint="eastAsia"/>
                <w:color w:val="000000"/>
                <w:sz w:val="22"/>
                <w:szCs w:val="22"/>
              </w:rPr>
              <w:t>个</w:t>
            </w:r>
          </w:p>
        </w:tc>
        <w:tc>
          <w:tcPr>
            <w:tcW w:w="1400" w:type="dxa"/>
            <w:noWrap w:val="0"/>
            <w:vAlign w:val="center"/>
          </w:tcPr>
          <w:p w14:paraId="5BF4AF96">
            <w:pPr>
              <w:jc w:val="center"/>
              <w:rPr>
                <w:rFonts w:ascii="宋体" w:hAnsi="宋体" w:eastAsia="宋体" w:cs="宋体"/>
                <w:color w:val="000000"/>
                <w:sz w:val="22"/>
                <w:szCs w:val="22"/>
              </w:rPr>
            </w:pPr>
            <w:r>
              <w:rPr>
                <w:rFonts w:hint="eastAsia" w:eastAsia="宋体"/>
                <w:color w:val="000000"/>
                <w:sz w:val="22"/>
                <w:szCs w:val="22"/>
              </w:rPr>
              <w:t>400</w:t>
            </w:r>
          </w:p>
        </w:tc>
        <w:tc>
          <w:tcPr>
            <w:tcW w:w="1853" w:type="dxa"/>
            <w:noWrap w:val="0"/>
            <w:vAlign w:val="center"/>
          </w:tcPr>
          <w:p w14:paraId="0D122694">
            <w:pPr>
              <w:jc w:val="center"/>
              <w:rPr>
                <w:rFonts w:hint="eastAsia" w:eastAsia="宋体"/>
                <w:color w:val="000000"/>
                <w:sz w:val="22"/>
                <w:szCs w:val="22"/>
              </w:rPr>
            </w:pPr>
          </w:p>
        </w:tc>
        <w:tc>
          <w:tcPr>
            <w:tcW w:w="1786" w:type="dxa"/>
            <w:noWrap w:val="0"/>
            <w:vAlign w:val="center"/>
          </w:tcPr>
          <w:p w14:paraId="0E179543">
            <w:pPr>
              <w:jc w:val="center"/>
              <w:rPr>
                <w:rFonts w:hint="eastAsia" w:eastAsia="宋体"/>
                <w:color w:val="000000"/>
                <w:sz w:val="22"/>
                <w:szCs w:val="22"/>
              </w:rPr>
            </w:pPr>
          </w:p>
        </w:tc>
      </w:tr>
      <w:tr w14:paraId="262F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6025D127">
            <w:pPr>
              <w:jc w:val="center"/>
              <w:rPr>
                <w:sz w:val="22"/>
                <w:szCs w:val="22"/>
              </w:rPr>
            </w:pPr>
          </w:p>
        </w:tc>
        <w:tc>
          <w:tcPr>
            <w:tcW w:w="2427" w:type="dxa"/>
            <w:noWrap w:val="0"/>
            <w:vAlign w:val="center"/>
          </w:tcPr>
          <w:p w14:paraId="23ABF4FE">
            <w:pPr>
              <w:jc w:val="center"/>
              <w:rPr>
                <w:rFonts w:ascii="宋体" w:hAnsi="宋体" w:eastAsia="宋体" w:cs="宋体"/>
                <w:color w:val="000000"/>
                <w:sz w:val="22"/>
                <w:szCs w:val="22"/>
              </w:rPr>
            </w:pPr>
            <w:r>
              <w:rPr>
                <w:rFonts w:hint="eastAsia"/>
                <w:color w:val="000000"/>
                <w:sz w:val="22"/>
                <w:szCs w:val="22"/>
              </w:rPr>
              <w:t>溴鼠灵</w:t>
            </w:r>
          </w:p>
        </w:tc>
        <w:tc>
          <w:tcPr>
            <w:tcW w:w="1547" w:type="dxa"/>
            <w:noWrap w:val="0"/>
            <w:vAlign w:val="center"/>
          </w:tcPr>
          <w:p w14:paraId="7CE8D46D">
            <w:pPr>
              <w:jc w:val="center"/>
              <w:rPr>
                <w:rFonts w:ascii="宋体" w:hAnsi="宋体" w:eastAsia="宋体" w:cs="宋体"/>
                <w:color w:val="000000"/>
                <w:sz w:val="22"/>
                <w:szCs w:val="22"/>
              </w:rPr>
            </w:pPr>
            <w:r>
              <w:rPr>
                <w:rFonts w:hint="eastAsia"/>
                <w:color w:val="000000"/>
                <w:sz w:val="22"/>
                <w:szCs w:val="22"/>
              </w:rPr>
              <w:t>500g/袋</w:t>
            </w:r>
          </w:p>
        </w:tc>
        <w:tc>
          <w:tcPr>
            <w:tcW w:w="1400" w:type="dxa"/>
            <w:noWrap w:val="0"/>
            <w:vAlign w:val="center"/>
          </w:tcPr>
          <w:p w14:paraId="446FBDC0">
            <w:pPr>
              <w:jc w:val="center"/>
              <w:rPr>
                <w:rFonts w:ascii="宋体" w:hAnsi="宋体" w:eastAsia="宋体" w:cs="宋体"/>
                <w:color w:val="000000"/>
                <w:sz w:val="22"/>
                <w:szCs w:val="22"/>
              </w:rPr>
            </w:pPr>
            <w:r>
              <w:rPr>
                <w:rFonts w:hint="eastAsia" w:eastAsia="宋体"/>
                <w:color w:val="000000"/>
                <w:sz w:val="22"/>
                <w:szCs w:val="22"/>
              </w:rPr>
              <w:t>120</w:t>
            </w:r>
          </w:p>
        </w:tc>
        <w:tc>
          <w:tcPr>
            <w:tcW w:w="1853" w:type="dxa"/>
            <w:noWrap w:val="0"/>
            <w:vAlign w:val="center"/>
          </w:tcPr>
          <w:p w14:paraId="2A990264">
            <w:pPr>
              <w:jc w:val="center"/>
              <w:rPr>
                <w:rFonts w:hint="eastAsia" w:eastAsia="宋体"/>
                <w:color w:val="000000"/>
                <w:sz w:val="22"/>
                <w:szCs w:val="22"/>
              </w:rPr>
            </w:pPr>
          </w:p>
        </w:tc>
        <w:tc>
          <w:tcPr>
            <w:tcW w:w="1786" w:type="dxa"/>
            <w:noWrap w:val="0"/>
            <w:vAlign w:val="center"/>
          </w:tcPr>
          <w:p w14:paraId="7125B815">
            <w:pPr>
              <w:jc w:val="center"/>
              <w:rPr>
                <w:rFonts w:hint="eastAsia" w:eastAsia="宋体"/>
                <w:color w:val="000000"/>
                <w:sz w:val="22"/>
                <w:szCs w:val="22"/>
              </w:rPr>
            </w:pPr>
          </w:p>
        </w:tc>
      </w:tr>
      <w:tr w14:paraId="5B39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598966B0">
            <w:pPr>
              <w:jc w:val="center"/>
              <w:rPr>
                <w:sz w:val="22"/>
                <w:szCs w:val="22"/>
              </w:rPr>
            </w:pPr>
          </w:p>
        </w:tc>
        <w:tc>
          <w:tcPr>
            <w:tcW w:w="2427" w:type="dxa"/>
            <w:noWrap w:val="0"/>
            <w:vAlign w:val="center"/>
          </w:tcPr>
          <w:p w14:paraId="13DBCE10">
            <w:pPr>
              <w:jc w:val="center"/>
              <w:rPr>
                <w:rFonts w:ascii="宋体" w:hAnsi="宋体" w:eastAsia="宋体" w:cs="宋体"/>
                <w:color w:val="000000"/>
                <w:sz w:val="22"/>
                <w:szCs w:val="22"/>
              </w:rPr>
            </w:pPr>
            <w:r>
              <w:rPr>
                <w:rFonts w:hint="eastAsia"/>
                <w:color w:val="000000"/>
                <w:sz w:val="22"/>
                <w:szCs w:val="22"/>
              </w:rPr>
              <w:t>粘鼠板</w:t>
            </w:r>
          </w:p>
        </w:tc>
        <w:tc>
          <w:tcPr>
            <w:tcW w:w="1547" w:type="dxa"/>
            <w:noWrap w:val="0"/>
            <w:vAlign w:val="center"/>
          </w:tcPr>
          <w:p w14:paraId="179B94B6">
            <w:pPr>
              <w:jc w:val="center"/>
              <w:rPr>
                <w:rFonts w:ascii="宋体" w:hAnsi="宋体" w:eastAsia="宋体" w:cs="宋体"/>
                <w:color w:val="000000"/>
                <w:sz w:val="22"/>
                <w:szCs w:val="22"/>
              </w:rPr>
            </w:pPr>
            <w:r>
              <w:rPr>
                <w:rFonts w:hint="eastAsia"/>
                <w:color w:val="000000"/>
                <w:sz w:val="22"/>
                <w:szCs w:val="22"/>
              </w:rPr>
              <w:t>张</w:t>
            </w:r>
          </w:p>
        </w:tc>
        <w:tc>
          <w:tcPr>
            <w:tcW w:w="1400" w:type="dxa"/>
            <w:noWrap w:val="0"/>
            <w:vAlign w:val="center"/>
          </w:tcPr>
          <w:p w14:paraId="32CA95E4">
            <w:pPr>
              <w:jc w:val="center"/>
              <w:rPr>
                <w:rFonts w:ascii="宋体" w:hAnsi="宋体" w:eastAsia="宋体" w:cs="宋体"/>
                <w:color w:val="000000"/>
                <w:sz w:val="22"/>
                <w:szCs w:val="22"/>
              </w:rPr>
            </w:pPr>
            <w:r>
              <w:rPr>
                <w:rFonts w:hint="eastAsia" w:eastAsia="宋体"/>
                <w:color w:val="000000"/>
                <w:sz w:val="22"/>
                <w:szCs w:val="22"/>
              </w:rPr>
              <w:t>80</w:t>
            </w:r>
          </w:p>
        </w:tc>
        <w:tc>
          <w:tcPr>
            <w:tcW w:w="1853" w:type="dxa"/>
            <w:noWrap w:val="0"/>
            <w:vAlign w:val="center"/>
          </w:tcPr>
          <w:p w14:paraId="41A65F39">
            <w:pPr>
              <w:jc w:val="center"/>
              <w:rPr>
                <w:rFonts w:hint="eastAsia" w:eastAsia="宋体"/>
                <w:color w:val="000000"/>
                <w:sz w:val="22"/>
                <w:szCs w:val="22"/>
              </w:rPr>
            </w:pPr>
          </w:p>
        </w:tc>
        <w:tc>
          <w:tcPr>
            <w:tcW w:w="1786" w:type="dxa"/>
            <w:noWrap w:val="0"/>
            <w:vAlign w:val="center"/>
          </w:tcPr>
          <w:p w14:paraId="606B3BBC">
            <w:pPr>
              <w:jc w:val="center"/>
              <w:rPr>
                <w:rFonts w:hint="eastAsia" w:eastAsia="宋体"/>
                <w:color w:val="000000"/>
                <w:sz w:val="22"/>
                <w:szCs w:val="22"/>
              </w:rPr>
            </w:pPr>
          </w:p>
        </w:tc>
      </w:tr>
      <w:tr w14:paraId="05FC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restart"/>
            <w:noWrap w:val="0"/>
            <w:vAlign w:val="center"/>
          </w:tcPr>
          <w:p w14:paraId="2A40754A">
            <w:pPr>
              <w:jc w:val="center"/>
              <w:rPr>
                <w:sz w:val="22"/>
                <w:szCs w:val="22"/>
              </w:rPr>
            </w:pPr>
            <w:r>
              <w:rPr>
                <w:rFonts w:hint="eastAsia"/>
                <w:sz w:val="22"/>
                <w:szCs w:val="22"/>
              </w:rPr>
              <w:t>蚊蝇防制</w:t>
            </w:r>
          </w:p>
        </w:tc>
        <w:tc>
          <w:tcPr>
            <w:tcW w:w="2427" w:type="dxa"/>
            <w:noWrap w:val="0"/>
            <w:vAlign w:val="center"/>
          </w:tcPr>
          <w:p w14:paraId="7C7C1E08">
            <w:pPr>
              <w:jc w:val="center"/>
              <w:rPr>
                <w:rFonts w:ascii="宋体" w:hAnsi="宋体" w:eastAsia="宋体" w:cs="宋体"/>
                <w:color w:val="000000"/>
                <w:sz w:val="22"/>
                <w:szCs w:val="22"/>
              </w:rPr>
            </w:pPr>
            <w:r>
              <w:rPr>
                <w:rFonts w:hint="eastAsia"/>
                <w:color w:val="000000"/>
                <w:sz w:val="22"/>
                <w:szCs w:val="22"/>
              </w:rPr>
              <w:t>3%氯氰菊酯烟剂</w:t>
            </w:r>
          </w:p>
        </w:tc>
        <w:tc>
          <w:tcPr>
            <w:tcW w:w="1547" w:type="dxa"/>
            <w:noWrap w:val="0"/>
            <w:vAlign w:val="center"/>
          </w:tcPr>
          <w:p w14:paraId="1337022E">
            <w:pPr>
              <w:jc w:val="center"/>
              <w:rPr>
                <w:rFonts w:ascii="宋体" w:hAnsi="宋体" w:eastAsia="宋体" w:cs="宋体"/>
                <w:color w:val="000000"/>
                <w:sz w:val="22"/>
                <w:szCs w:val="22"/>
              </w:rPr>
            </w:pPr>
            <w:r>
              <w:rPr>
                <w:rFonts w:hint="eastAsia"/>
                <w:color w:val="000000"/>
                <w:sz w:val="22"/>
                <w:szCs w:val="22"/>
              </w:rPr>
              <w:t>350g/罐</w:t>
            </w:r>
          </w:p>
        </w:tc>
        <w:tc>
          <w:tcPr>
            <w:tcW w:w="1400" w:type="dxa"/>
            <w:noWrap w:val="0"/>
            <w:vAlign w:val="center"/>
          </w:tcPr>
          <w:p w14:paraId="00038DE0">
            <w:pPr>
              <w:jc w:val="center"/>
              <w:rPr>
                <w:rFonts w:ascii="宋体" w:hAnsi="宋体" w:eastAsia="宋体" w:cs="宋体"/>
                <w:color w:val="000000"/>
                <w:sz w:val="22"/>
                <w:szCs w:val="22"/>
              </w:rPr>
            </w:pPr>
            <w:r>
              <w:rPr>
                <w:rFonts w:hint="eastAsia" w:eastAsia="宋体"/>
                <w:color w:val="000000"/>
                <w:sz w:val="22"/>
                <w:szCs w:val="22"/>
              </w:rPr>
              <w:t>110</w:t>
            </w:r>
          </w:p>
        </w:tc>
        <w:tc>
          <w:tcPr>
            <w:tcW w:w="1853" w:type="dxa"/>
            <w:noWrap w:val="0"/>
            <w:vAlign w:val="center"/>
          </w:tcPr>
          <w:p w14:paraId="0792F238">
            <w:pPr>
              <w:jc w:val="center"/>
              <w:rPr>
                <w:rFonts w:hint="eastAsia" w:eastAsia="宋体"/>
                <w:color w:val="000000"/>
                <w:sz w:val="22"/>
                <w:szCs w:val="22"/>
              </w:rPr>
            </w:pPr>
          </w:p>
        </w:tc>
        <w:tc>
          <w:tcPr>
            <w:tcW w:w="1786" w:type="dxa"/>
            <w:noWrap w:val="0"/>
            <w:vAlign w:val="center"/>
          </w:tcPr>
          <w:p w14:paraId="5769171A">
            <w:pPr>
              <w:jc w:val="center"/>
              <w:rPr>
                <w:rFonts w:hint="eastAsia" w:eastAsia="宋体"/>
                <w:color w:val="000000"/>
                <w:sz w:val="22"/>
                <w:szCs w:val="22"/>
              </w:rPr>
            </w:pPr>
          </w:p>
        </w:tc>
      </w:tr>
      <w:tr w14:paraId="7F845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6084BA9E">
            <w:pPr>
              <w:jc w:val="center"/>
              <w:rPr>
                <w:sz w:val="22"/>
                <w:szCs w:val="22"/>
              </w:rPr>
            </w:pPr>
          </w:p>
        </w:tc>
        <w:tc>
          <w:tcPr>
            <w:tcW w:w="2427" w:type="dxa"/>
            <w:noWrap w:val="0"/>
            <w:vAlign w:val="center"/>
          </w:tcPr>
          <w:p w14:paraId="2A8CB6C6">
            <w:pPr>
              <w:jc w:val="center"/>
              <w:rPr>
                <w:rFonts w:ascii="宋体" w:hAnsi="宋体" w:eastAsia="宋体" w:cs="宋体"/>
                <w:color w:val="000000"/>
                <w:sz w:val="22"/>
                <w:szCs w:val="22"/>
              </w:rPr>
            </w:pPr>
            <w:r>
              <w:rPr>
                <w:rFonts w:hint="eastAsia"/>
                <w:color w:val="000000"/>
                <w:sz w:val="22"/>
                <w:szCs w:val="22"/>
              </w:rPr>
              <w:t>吡丙醚颗粒剂</w:t>
            </w:r>
          </w:p>
        </w:tc>
        <w:tc>
          <w:tcPr>
            <w:tcW w:w="1547" w:type="dxa"/>
            <w:noWrap w:val="0"/>
            <w:vAlign w:val="center"/>
          </w:tcPr>
          <w:p w14:paraId="60372CA5">
            <w:pPr>
              <w:jc w:val="center"/>
              <w:rPr>
                <w:rFonts w:ascii="宋体" w:hAnsi="宋体" w:eastAsia="宋体" w:cs="宋体"/>
                <w:color w:val="000000"/>
                <w:sz w:val="22"/>
                <w:szCs w:val="22"/>
              </w:rPr>
            </w:pPr>
            <w:r>
              <w:rPr>
                <w:rFonts w:hint="eastAsia"/>
                <w:color w:val="000000"/>
                <w:sz w:val="22"/>
                <w:szCs w:val="22"/>
              </w:rPr>
              <w:t>500g/袋</w:t>
            </w:r>
          </w:p>
        </w:tc>
        <w:tc>
          <w:tcPr>
            <w:tcW w:w="1400" w:type="dxa"/>
            <w:noWrap w:val="0"/>
            <w:vAlign w:val="center"/>
          </w:tcPr>
          <w:p w14:paraId="2112CCA7">
            <w:pPr>
              <w:jc w:val="center"/>
              <w:rPr>
                <w:rFonts w:ascii="宋体" w:hAnsi="宋体" w:eastAsia="宋体" w:cs="宋体"/>
                <w:color w:val="000000"/>
                <w:sz w:val="22"/>
                <w:szCs w:val="22"/>
              </w:rPr>
            </w:pPr>
            <w:r>
              <w:rPr>
                <w:rFonts w:hint="eastAsia" w:eastAsia="宋体"/>
                <w:color w:val="000000"/>
                <w:sz w:val="22"/>
                <w:szCs w:val="22"/>
              </w:rPr>
              <w:t>20</w:t>
            </w:r>
          </w:p>
        </w:tc>
        <w:tc>
          <w:tcPr>
            <w:tcW w:w="1853" w:type="dxa"/>
            <w:noWrap w:val="0"/>
            <w:vAlign w:val="center"/>
          </w:tcPr>
          <w:p w14:paraId="28524946">
            <w:pPr>
              <w:jc w:val="center"/>
              <w:rPr>
                <w:rFonts w:hint="eastAsia" w:eastAsia="宋体"/>
                <w:color w:val="000000"/>
                <w:sz w:val="22"/>
                <w:szCs w:val="22"/>
              </w:rPr>
            </w:pPr>
          </w:p>
        </w:tc>
        <w:tc>
          <w:tcPr>
            <w:tcW w:w="1786" w:type="dxa"/>
            <w:noWrap w:val="0"/>
            <w:vAlign w:val="center"/>
          </w:tcPr>
          <w:p w14:paraId="4F2A6906">
            <w:pPr>
              <w:jc w:val="center"/>
              <w:rPr>
                <w:rFonts w:hint="eastAsia" w:eastAsia="宋体"/>
                <w:color w:val="000000"/>
                <w:sz w:val="22"/>
                <w:szCs w:val="22"/>
              </w:rPr>
            </w:pPr>
          </w:p>
        </w:tc>
      </w:tr>
      <w:tr w14:paraId="7B24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13CF9B5E">
            <w:pPr>
              <w:jc w:val="center"/>
              <w:rPr>
                <w:sz w:val="22"/>
                <w:szCs w:val="22"/>
              </w:rPr>
            </w:pPr>
          </w:p>
        </w:tc>
        <w:tc>
          <w:tcPr>
            <w:tcW w:w="2427" w:type="dxa"/>
            <w:noWrap w:val="0"/>
            <w:vAlign w:val="center"/>
          </w:tcPr>
          <w:p w14:paraId="24582408">
            <w:pPr>
              <w:jc w:val="center"/>
              <w:rPr>
                <w:rFonts w:ascii="宋体" w:hAnsi="宋体" w:eastAsia="宋体" w:cs="宋体"/>
                <w:color w:val="000000"/>
                <w:sz w:val="22"/>
                <w:szCs w:val="22"/>
              </w:rPr>
            </w:pPr>
            <w:r>
              <w:rPr>
                <w:rFonts w:hint="eastAsia"/>
                <w:color w:val="000000"/>
                <w:sz w:val="22"/>
                <w:szCs w:val="22"/>
              </w:rPr>
              <w:t>高氯·残杀威</w:t>
            </w:r>
          </w:p>
        </w:tc>
        <w:tc>
          <w:tcPr>
            <w:tcW w:w="1547" w:type="dxa"/>
            <w:noWrap w:val="0"/>
            <w:vAlign w:val="center"/>
          </w:tcPr>
          <w:p w14:paraId="7053DB95">
            <w:pPr>
              <w:jc w:val="center"/>
              <w:rPr>
                <w:rFonts w:ascii="宋体" w:hAnsi="宋体" w:eastAsia="宋体" w:cs="宋体"/>
                <w:color w:val="000000"/>
                <w:sz w:val="22"/>
                <w:szCs w:val="22"/>
              </w:rPr>
            </w:pPr>
            <w:r>
              <w:rPr>
                <w:rFonts w:hint="eastAsia"/>
                <w:color w:val="000000"/>
                <w:sz w:val="22"/>
                <w:szCs w:val="22"/>
              </w:rPr>
              <w:t>500ml/瓶</w:t>
            </w:r>
          </w:p>
        </w:tc>
        <w:tc>
          <w:tcPr>
            <w:tcW w:w="1400" w:type="dxa"/>
            <w:noWrap w:val="0"/>
            <w:vAlign w:val="center"/>
          </w:tcPr>
          <w:p w14:paraId="1A3D36FC">
            <w:pPr>
              <w:jc w:val="center"/>
              <w:rPr>
                <w:rFonts w:ascii="宋体" w:hAnsi="宋体" w:cs="宋体"/>
                <w:color w:val="000000"/>
                <w:sz w:val="22"/>
                <w:szCs w:val="22"/>
              </w:rPr>
            </w:pPr>
            <w:r>
              <w:rPr>
                <w:rFonts w:hint="eastAsia"/>
                <w:color w:val="000000"/>
                <w:sz w:val="22"/>
                <w:szCs w:val="22"/>
              </w:rPr>
              <w:t>12</w:t>
            </w:r>
          </w:p>
        </w:tc>
        <w:tc>
          <w:tcPr>
            <w:tcW w:w="1853" w:type="dxa"/>
            <w:noWrap w:val="0"/>
            <w:vAlign w:val="center"/>
          </w:tcPr>
          <w:p w14:paraId="62F3864A">
            <w:pPr>
              <w:jc w:val="center"/>
              <w:rPr>
                <w:rFonts w:hint="eastAsia"/>
                <w:color w:val="000000"/>
                <w:sz w:val="22"/>
                <w:szCs w:val="22"/>
              </w:rPr>
            </w:pPr>
          </w:p>
        </w:tc>
        <w:tc>
          <w:tcPr>
            <w:tcW w:w="1786" w:type="dxa"/>
            <w:noWrap w:val="0"/>
            <w:vAlign w:val="center"/>
          </w:tcPr>
          <w:p w14:paraId="2F304FFA">
            <w:pPr>
              <w:jc w:val="center"/>
              <w:rPr>
                <w:rFonts w:hint="eastAsia"/>
                <w:color w:val="000000"/>
                <w:sz w:val="22"/>
                <w:szCs w:val="22"/>
              </w:rPr>
            </w:pPr>
          </w:p>
        </w:tc>
      </w:tr>
      <w:tr w14:paraId="3D90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restart"/>
            <w:noWrap w:val="0"/>
            <w:vAlign w:val="center"/>
          </w:tcPr>
          <w:p w14:paraId="68ACB852">
            <w:pPr>
              <w:jc w:val="center"/>
              <w:rPr>
                <w:sz w:val="22"/>
                <w:szCs w:val="22"/>
              </w:rPr>
            </w:pPr>
            <w:r>
              <w:rPr>
                <w:rFonts w:hint="eastAsia"/>
                <w:sz w:val="22"/>
                <w:szCs w:val="22"/>
              </w:rPr>
              <w:t>蟑螂防制</w:t>
            </w:r>
          </w:p>
        </w:tc>
        <w:tc>
          <w:tcPr>
            <w:tcW w:w="2427" w:type="dxa"/>
            <w:noWrap w:val="0"/>
            <w:vAlign w:val="center"/>
          </w:tcPr>
          <w:p w14:paraId="4BE2026E">
            <w:pPr>
              <w:jc w:val="center"/>
              <w:rPr>
                <w:rFonts w:ascii="宋体" w:hAnsi="宋体" w:eastAsia="宋体" w:cs="宋体"/>
                <w:color w:val="000000"/>
                <w:sz w:val="22"/>
                <w:szCs w:val="22"/>
              </w:rPr>
            </w:pPr>
            <w:r>
              <w:rPr>
                <w:rFonts w:hint="eastAsia"/>
                <w:color w:val="000000"/>
                <w:sz w:val="22"/>
                <w:szCs w:val="22"/>
              </w:rPr>
              <w:t>杀蟑胶饵</w:t>
            </w:r>
          </w:p>
        </w:tc>
        <w:tc>
          <w:tcPr>
            <w:tcW w:w="1547" w:type="dxa"/>
            <w:noWrap w:val="0"/>
            <w:vAlign w:val="center"/>
          </w:tcPr>
          <w:p w14:paraId="247847F1">
            <w:pPr>
              <w:jc w:val="center"/>
              <w:rPr>
                <w:rFonts w:ascii="宋体" w:hAnsi="宋体" w:eastAsia="宋体" w:cs="宋体"/>
                <w:color w:val="000000"/>
                <w:sz w:val="22"/>
                <w:szCs w:val="22"/>
              </w:rPr>
            </w:pPr>
            <w:r>
              <w:rPr>
                <w:rFonts w:hint="eastAsia"/>
                <w:color w:val="000000"/>
                <w:sz w:val="22"/>
                <w:szCs w:val="22"/>
              </w:rPr>
              <w:t>20g/支</w:t>
            </w:r>
          </w:p>
        </w:tc>
        <w:tc>
          <w:tcPr>
            <w:tcW w:w="1400" w:type="dxa"/>
            <w:noWrap w:val="0"/>
            <w:vAlign w:val="center"/>
          </w:tcPr>
          <w:p w14:paraId="63CF4D21">
            <w:pPr>
              <w:jc w:val="center"/>
              <w:rPr>
                <w:rFonts w:ascii="宋体" w:hAnsi="宋体" w:eastAsia="宋体" w:cs="宋体"/>
                <w:color w:val="000000"/>
                <w:sz w:val="22"/>
                <w:szCs w:val="22"/>
              </w:rPr>
            </w:pPr>
            <w:r>
              <w:rPr>
                <w:rFonts w:hint="eastAsia" w:eastAsia="宋体"/>
                <w:color w:val="000000"/>
                <w:sz w:val="22"/>
                <w:szCs w:val="22"/>
              </w:rPr>
              <w:t>14</w:t>
            </w:r>
          </w:p>
        </w:tc>
        <w:tc>
          <w:tcPr>
            <w:tcW w:w="1853" w:type="dxa"/>
            <w:noWrap w:val="0"/>
            <w:vAlign w:val="center"/>
          </w:tcPr>
          <w:p w14:paraId="716F5DFF">
            <w:pPr>
              <w:jc w:val="center"/>
              <w:rPr>
                <w:rFonts w:hint="eastAsia" w:eastAsia="宋体"/>
                <w:color w:val="000000"/>
                <w:sz w:val="22"/>
                <w:szCs w:val="22"/>
              </w:rPr>
            </w:pPr>
          </w:p>
        </w:tc>
        <w:tc>
          <w:tcPr>
            <w:tcW w:w="1786" w:type="dxa"/>
            <w:noWrap w:val="0"/>
            <w:vAlign w:val="center"/>
          </w:tcPr>
          <w:p w14:paraId="43008243">
            <w:pPr>
              <w:jc w:val="center"/>
              <w:rPr>
                <w:rFonts w:hint="eastAsia" w:eastAsia="宋体"/>
                <w:color w:val="000000"/>
                <w:sz w:val="22"/>
                <w:szCs w:val="22"/>
              </w:rPr>
            </w:pPr>
          </w:p>
        </w:tc>
      </w:tr>
      <w:tr w14:paraId="5545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vMerge w:val="continue"/>
            <w:noWrap w:val="0"/>
            <w:vAlign w:val="center"/>
          </w:tcPr>
          <w:p w14:paraId="23CA764A">
            <w:pPr>
              <w:jc w:val="center"/>
              <w:rPr>
                <w:sz w:val="22"/>
                <w:szCs w:val="22"/>
              </w:rPr>
            </w:pPr>
          </w:p>
        </w:tc>
        <w:tc>
          <w:tcPr>
            <w:tcW w:w="2427" w:type="dxa"/>
            <w:noWrap w:val="0"/>
            <w:vAlign w:val="center"/>
          </w:tcPr>
          <w:p w14:paraId="45D00884">
            <w:pPr>
              <w:jc w:val="center"/>
              <w:rPr>
                <w:rFonts w:ascii="宋体" w:hAnsi="宋体" w:eastAsia="宋体" w:cs="宋体"/>
                <w:color w:val="000000"/>
                <w:sz w:val="22"/>
                <w:szCs w:val="22"/>
              </w:rPr>
            </w:pPr>
            <w:r>
              <w:rPr>
                <w:rFonts w:hint="eastAsia"/>
                <w:color w:val="000000"/>
                <w:sz w:val="22"/>
                <w:szCs w:val="22"/>
              </w:rPr>
              <w:t>杀蟑颗粒剂</w:t>
            </w:r>
          </w:p>
        </w:tc>
        <w:tc>
          <w:tcPr>
            <w:tcW w:w="1547" w:type="dxa"/>
            <w:noWrap w:val="0"/>
            <w:vAlign w:val="center"/>
          </w:tcPr>
          <w:p w14:paraId="10CC3DF1">
            <w:pPr>
              <w:jc w:val="center"/>
              <w:rPr>
                <w:rFonts w:ascii="宋体" w:hAnsi="宋体" w:eastAsia="宋体" w:cs="宋体"/>
                <w:color w:val="000000"/>
                <w:sz w:val="22"/>
                <w:szCs w:val="22"/>
              </w:rPr>
            </w:pPr>
            <w:r>
              <w:rPr>
                <w:rFonts w:hint="eastAsia"/>
                <w:color w:val="000000"/>
                <w:sz w:val="22"/>
                <w:szCs w:val="22"/>
              </w:rPr>
              <w:t>500g/袋</w:t>
            </w:r>
          </w:p>
        </w:tc>
        <w:tc>
          <w:tcPr>
            <w:tcW w:w="1400" w:type="dxa"/>
            <w:noWrap w:val="0"/>
            <w:vAlign w:val="center"/>
          </w:tcPr>
          <w:p w14:paraId="58AEBB8C">
            <w:pPr>
              <w:jc w:val="center"/>
              <w:rPr>
                <w:rFonts w:ascii="宋体" w:hAnsi="宋体" w:eastAsia="宋体" w:cs="宋体"/>
                <w:color w:val="000000"/>
                <w:sz w:val="22"/>
                <w:szCs w:val="22"/>
              </w:rPr>
            </w:pPr>
            <w:r>
              <w:rPr>
                <w:rFonts w:hint="eastAsia" w:eastAsia="宋体"/>
                <w:color w:val="000000"/>
                <w:sz w:val="22"/>
                <w:szCs w:val="22"/>
              </w:rPr>
              <w:t>6</w:t>
            </w:r>
          </w:p>
        </w:tc>
        <w:tc>
          <w:tcPr>
            <w:tcW w:w="1853" w:type="dxa"/>
            <w:noWrap w:val="0"/>
            <w:vAlign w:val="center"/>
          </w:tcPr>
          <w:p w14:paraId="266876AF">
            <w:pPr>
              <w:jc w:val="center"/>
              <w:rPr>
                <w:rFonts w:hint="eastAsia" w:eastAsia="宋体"/>
                <w:color w:val="000000"/>
                <w:sz w:val="22"/>
                <w:szCs w:val="22"/>
              </w:rPr>
            </w:pPr>
          </w:p>
        </w:tc>
        <w:tc>
          <w:tcPr>
            <w:tcW w:w="1786" w:type="dxa"/>
            <w:noWrap w:val="0"/>
            <w:vAlign w:val="center"/>
          </w:tcPr>
          <w:p w14:paraId="34AE0EB9">
            <w:pPr>
              <w:jc w:val="center"/>
              <w:rPr>
                <w:rFonts w:hint="eastAsia" w:eastAsia="宋体"/>
                <w:color w:val="000000"/>
                <w:sz w:val="22"/>
                <w:szCs w:val="22"/>
              </w:rPr>
            </w:pPr>
          </w:p>
        </w:tc>
      </w:tr>
      <w:tr w14:paraId="2679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1698" w:type="dxa"/>
            <w:noWrap w:val="0"/>
            <w:vAlign w:val="center"/>
          </w:tcPr>
          <w:p w14:paraId="1E24958B">
            <w:pPr>
              <w:jc w:val="center"/>
              <w:rPr>
                <w:rFonts w:ascii="宋体" w:hAnsi="宋体" w:eastAsia="宋体" w:cs="宋体"/>
                <w:color w:val="000000"/>
                <w:sz w:val="22"/>
                <w:szCs w:val="22"/>
              </w:rPr>
            </w:pPr>
            <w:r>
              <w:rPr>
                <w:rFonts w:hint="eastAsia" w:ascii="宋体" w:hAnsi="宋体" w:eastAsia="宋体" w:cs="宋体"/>
                <w:kern w:val="0"/>
                <w:sz w:val="22"/>
                <w:szCs w:val="22"/>
              </w:rPr>
              <w:t>内外环境消杀</w:t>
            </w:r>
          </w:p>
        </w:tc>
        <w:tc>
          <w:tcPr>
            <w:tcW w:w="2427" w:type="dxa"/>
            <w:noWrap w:val="0"/>
            <w:vAlign w:val="center"/>
          </w:tcPr>
          <w:p w14:paraId="29CE29AD">
            <w:pPr>
              <w:jc w:val="center"/>
              <w:rPr>
                <w:rFonts w:ascii="宋体" w:hAnsi="宋体" w:eastAsia="宋体" w:cs="宋体"/>
                <w:color w:val="000000"/>
                <w:sz w:val="22"/>
                <w:szCs w:val="22"/>
              </w:rPr>
            </w:pPr>
            <w:r>
              <w:rPr>
                <w:rFonts w:hint="eastAsia" w:ascii="宋体" w:hAnsi="宋体" w:eastAsia="宋体" w:cs="宋体"/>
                <w:color w:val="000000"/>
                <w:sz w:val="22"/>
                <w:szCs w:val="22"/>
              </w:rPr>
              <w:t>两个月1次</w:t>
            </w:r>
          </w:p>
        </w:tc>
        <w:tc>
          <w:tcPr>
            <w:tcW w:w="1547" w:type="dxa"/>
            <w:noWrap w:val="0"/>
            <w:vAlign w:val="center"/>
          </w:tcPr>
          <w:p w14:paraId="5F2C3CA5">
            <w:pPr>
              <w:jc w:val="center"/>
              <w:rPr>
                <w:rFonts w:ascii="宋体" w:hAnsi="宋体" w:eastAsia="宋体" w:cs="宋体"/>
                <w:color w:val="000000"/>
                <w:sz w:val="22"/>
                <w:szCs w:val="22"/>
              </w:rPr>
            </w:pPr>
            <w:r>
              <w:rPr>
                <w:rFonts w:hint="eastAsia" w:ascii="宋体" w:hAnsi="宋体" w:eastAsia="宋体" w:cs="宋体"/>
                <w:color w:val="000000"/>
                <w:sz w:val="22"/>
                <w:szCs w:val="22"/>
              </w:rPr>
              <w:t>次</w:t>
            </w:r>
          </w:p>
        </w:tc>
        <w:tc>
          <w:tcPr>
            <w:tcW w:w="1400" w:type="dxa"/>
            <w:noWrap w:val="0"/>
            <w:vAlign w:val="center"/>
          </w:tcPr>
          <w:p w14:paraId="538265DF">
            <w:pPr>
              <w:jc w:val="center"/>
              <w:rPr>
                <w:rFonts w:ascii="宋体" w:hAnsi="宋体" w:eastAsia="宋体" w:cs="宋体"/>
                <w:color w:val="000000"/>
                <w:sz w:val="22"/>
                <w:szCs w:val="22"/>
              </w:rPr>
            </w:pPr>
            <w:r>
              <w:rPr>
                <w:rFonts w:hint="eastAsia" w:ascii="宋体" w:hAnsi="宋体" w:eastAsia="宋体" w:cs="宋体"/>
                <w:color w:val="000000"/>
                <w:sz w:val="22"/>
                <w:szCs w:val="22"/>
              </w:rPr>
              <w:t>6次</w:t>
            </w:r>
          </w:p>
        </w:tc>
        <w:tc>
          <w:tcPr>
            <w:tcW w:w="1853" w:type="dxa"/>
            <w:noWrap w:val="0"/>
            <w:vAlign w:val="center"/>
          </w:tcPr>
          <w:p w14:paraId="262D6F5C">
            <w:pPr>
              <w:jc w:val="center"/>
              <w:rPr>
                <w:rFonts w:hint="eastAsia" w:ascii="宋体" w:hAnsi="宋体" w:eastAsia="宋体" w:cs="宋体"/>
                <w:color w:val="000000"/>
                <w:sz w:val="22"/>
                <w:szCs w:val="22"/>
              </w:rPr>
            </w:pPr>
          </w:p>
        </w:tc>
        <w:tc>
          <w:tcPr>
            <w:tcW w:w="1786" w:type="dxa"/>
            <w:noWrap w:val="0"/>
            <w:vAlign w:val="center"/>
          </w:tcPr>
          <w:p w14:paraId="4F1F6EF9">
            <w:pPr>
              <w:jc w:val="center"/>
              <w:rPr>
                <w:rFonts w:hint="eastAsia" w:ascii="宋体" w:hAnsi="宋体" w:eastAsia="宋体" w:cs="宋体"/>
                <w:color w:val="000000"/>
                <w:sz w:val="22"/>
                <w:szCs w:val="22"/>
              </w:rPr>
            </w:pPr>
          </w:p>
        </w:tc>
      </w:tr>
      <w:tr w14:paraId="52EEE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1698" w:type="dxa"/>
            <w:noWrap w:val="0"/>
            <w:vAlign w:val="center"/>
          </w:tcPr>
          <w:p w14:paraId="2F79E361">
            <w:pPr>
              <w:jc w:val="center"/>
              <w:rPr>
                <w:rFonts w:eastAsia="宋体"/>
                <w:color w:val="000000"/>
                <w:sz w:val="22"/>
                <w:szCs w:val="22"/>
              </w:rPr>
            </w:pPr>
            <w:r>
              <w:rPr>
                <w:rFonts w:hint="eastAsia" w:eastAsia="宋体"/>
                <w:color w:val="000000"/>
                <w:sz w:val="22"/>
                <w:szCs w:val="22"/>
              </w:rPr>
              <w:t>食堂主、北校区</w:t>
            </w:r>
          </w:p>
        </w:tc>
        <w:tc>
          <w:tcPr>
            <w:tcW w:w="2427" w:type="dxa"/>
            <w:noWrap w:val="0"/>
            <w:vAlign w:val="center"/>
          </w:tcPr>
          <w:p w14:paraId="66CF65D6">
            <w:pPr>
              <w:jc w:val="center"/>
              <w:rPr>
                <w:rFonts w:ascii="宋体" w:hAnsi="宋体" w:eastAsia="宋体" w:cs="宋体"/>
                <w:color w:val="000000"/>
                <w:sz w:val="22"/>
                <w:szCs w:val="22"/>
              </w:rPr>
            </w:pPr>
            <w:r>
              <w:rPr>
                <w:rFonts w:hint="eastAsia" w:ascii="宋体" w:hAnsi="宋体" w:eastAsia="宋体" w:cs="宋体"/>
                <w:color w:val="000000"/>
                <w:sz w:val="22"/>
                <w:szCs w:val="22"/>
              </w:rPr>
              <w:t>每月1次（不含假期）</w:t>
            </w:r>
          </w:p>
        </w:tc>
        <w:tc>
          <w:tcPr>
            <w:tcW w:w="1547" w:type="dxa"/>
            <w:noWrap w:val="0"/>
            <w:vAlign w:val="center"/>
          </w:tcPr>
          <w:p w14:paraId="0B95AD0C">
            <w:pPr>
              <w:jc w:val="center"/>
              <w:rPr>
                <w:color w:val="000000"/>
                <w:sz w:val="22"/>
                <w:szCs w:val="22"/>
              </w:rPr>
            </w:pPr>
            <w:r>
              <w:rPr>
                <w:rFonts w:hint="eastAsia" w:ascii="宋体" w:hAnsi="宋体" w:eastAsia="宋体" w:cs="宋体"/>
                <w:color w:val="000000"/>
                <w:sz w:val="22"/>
                <w:szCs w:val="22"/>
              </w:rPr>
              <w:t>次</w:t>
            </w:r>
          </w:p>
        </w:tc>
        <w:tc>
          <w:tcPr>
            <w:tcW w:w="1400" w:type="dxa"/>
            <w:noWrap w:val="0"/>
            <w:vAlign w:val="center"/>
          </w:tcPr>
          <w:p w14:paraId="36BC96BA">
            <w:pPr>
              <w:jc w:val="center"/>
              <w:rPr>
                <w:color w:val="000000"/>
                <w:sz w:val="22"/>
                <w:szCs w:val="22"/>
              </w:rPr>
            </w:pPr>
            <w:r>
              <w:rPr>
                <w:rFonts w:hint="eastAsia" w:ascii="宋体" w:hAnsi="宋体" w:eastAsia="宋体" w:cs="宋体"/>
                <w:color w:val="000000"/>
                <w:sz w:val="22"/>
                <w:szCs w:val="22"/>
              </w:rPr>
              <w:t>9次</w:t>
            </w:r>
          </w:p>
        </w:tc>
        <w:tc>
          <w:tcPr>
            <w:tcW w:w="1853" w:type="dxa"/>
            <w:noWrap w:val="0"/>
            <w:vAlign w:val="center"/>
          </w:tcPr>
          <w:p w14:paraId="31783F83">
            <w:pPr>
              <w:jc w:val="center"/>
              <w:rPr>
                <w:rFonts w:hint="eastAsia" w:ascii="宋体" w:hAnsi="宋体" w:eastAsia="宋体" w:cs="宋体"/>
                <w:color w:val="000000"/>
                <w:sz w:val="22"/>
                <w:szCs w:val="22"/>
              </w:rPr>
            </w:pPr>
          </w:p>
        </w:tc>
        <w:tc>
          <w:tcPr>
            <w:tcW w:w="1786" w:type="dxa"/>
            <w:noWrap w:val="0"/>
            <w:vAlign w:val="center"/>
          </w:tcPr>
          <w:p w14:paraId="3DC9ECCC">
            <w:pPr>
              <w:jc w:val="center"/>
              <w:rPr>
                <w:rFonts w:hint="eastAsia" w:ascii="宋体" w:hAnsi="宋体" w:eastAsia="宋体" w:cs="宋体"/>
                <w:color w:val="000000"/>
                <w:sz w:val="22"/>
                <w:szCs w:val="22"/>
              </w:rPr>
            </w:pPr>
          </w:p>
        </w:tc>
      </w:tr>
      <w:tr w14:paraId="23B2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trPr>
        <w:tc>
          <w:tcPr>
            <w:tcW w:w="10711" w:type="dxa"/>
            <w:gridSpan w:val="6"/>
            <w:noWrap w:val="0"/>
            <w:vAlign w:val="center"/>
          </w:tcPr>
          <w:p w14:paraId="309B25DE">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合计金额（元）：</w:t>
            </w:r>
          </w:p>
        </w:tc>
      </w:tr>
    </w:tbl>
    <w:p w14:paraId="33A52104">
      <w:pPr>
        <w:pStyle w:val="9"/>
        <w:numPr>
          <w:ilvl w:val="0"/>
          <w:numId w:val="0"/>
        </w:numPr>
        <w:spacing w:line="240" w:lineRule="auto"/>
        <w:ind w:leftChars="0"/>
        <w:rPr>
          <w:rFonts w:hint="eastAsia" w:ascii="宋体" w:hAnsi="宋体" w:eastAsia="宋体" w:cs="宋体"/>
          <w:color w:val="auto"/>
          <w:sz w:val="22"/>
          <w:szCs w:val="22"/>
          <w:lang w:val="en-US" w:eastAsia="zh-CN"/>
        </w:rPr>
      </w:pPr>
    </w:p>
    <w:p w14:paraId="0ED88DE5">
      <w:pPr>
        <w:ind w:left="0" w:leftChars="0" w:firstLine="221" w:firstLineChars="100"/>
        <w:rPr>
          <w:rFonts w:hint="eastAsia"/>
          <w:b/>
          <w:bCs/>
          <w:color w:val="FF0000"/>
          <w:sz w:val="22"/>
          <w:szCs w:val="22"/>
          <w:lang w:val="en-US" w:eastAsia="zh-CN"/>
        </w:rPr>
      </w:pPr>
      <w:r>
        <w:rPr>
          <w:rFonts w:hint="eastAsia"/>
          <w:b/>
          <w:bCs/>
          <w:color w:val="FF0000"/>
          <w:sz w:val="22"/>
          <w:szCs w:val="22"/>
          <w:lang w:val="en-US" w:eastAsia="zh-CN"/>
        </w:rPr>
        <w:t>注：1.需另附相关营业执照资质及服务方案。</w:t>
      </w:r>
    </w:p>
    <w:p w14:paraId="565F0A4B">
      <w:pPr>
        <w:ind w:left="0" w:leftChars="0" w:firstLine="663" w:firstLineChars="300"/>
        <w:rPr>
          <w:rFonts w:hint="eastAsia"/>
          <w:b/>
          <w:bCs/>
          <w:color w:val="FF0000"/>
          <w:sz w:val="22"/>
          <w:szCs w:val="22"/>
          <w:lang w:val="en-US" w:eastAsia="zh-CN"/>
        </w:rPr>
      </w:pPr>
      <w:r>
        <w:rPr>
          <w:rFonts w:hint="eastAsia"/>
          <w:b/>
          <w:bCs/>
          <w:color w:val="FF0000"/>
          <w:sz w:val="22"/>
          <w:szCs w:val="22"/>
          <w:lang w:val="en-US" w:eastAsia="zh-CN"/>
        </w:rPr>
        <w:t>2.开具增值税普通发票后付款。</w:t>
      </w:r>
    </w:p>
    <w:p w14:paraId="44935F81">
      <w:pPr>
        <w:ind w:left="0" w:leftChars="0" w:firstLine="663" w:firstLineChars="300"/>
        <w:rPr>
          <w:rFonts w:hint="default"/>
          <w:sz w:val="22"/>
          <w:szCs w:val="22"/>
          <w:lang w:val="en-US" w:eastAsia="zh-CN"/>
        </w:rPr>
      </w:pPr>
      <w:r>
        <w:rPr>
          <w:rFonts w:hint="eastAsia"/>
          <w:b/>
          <w:bCs/>
          <w:color w:val="FF0000"/>
          <w:sz w:val="22"/>
          <w:szCs w:val="22"/>
          <w:lang w:val="en-US" w:eastAsia="zh-CN"/>
        </w:rPr>
        <w:t>3.合同期一年，每半年支付服务费。</w:t>
      </w:r>
    </w:p>
    <w:p w14:paraId="32F3C165">
      <w:pPr>
        <w:ind w:left="0" w:leftChars="0" w:firstLine="663" w:firstLineChars="300"/>
        <w:rPr>
          <w:rFonts w:hint="default" w:ascii="Times New Roman" w:hAnsi="Times New Roman" w:cs="Times New Roman"/>
          <w:b/>
          <w:bCs/>
          <w:color w:val="FF0000"/>
          <w:sz w:val="22"/>
          <w:szCs w:val="22"/>
          <w:lang w:val="en-US" w:eastAsia="zh-CN"/>
        </w:rPr>
      </w:pPr>
      <w:r>
        <w:rPr>
          <w:rFonts w:hint="eastAsia" w:ascii="Times New Roman" w:hAnsi="Times New Roman" w:cs="Times New Roman"/>
          <w:b/>
          <w:bCs/>
          <w:color w:val="FF0000"/>
          <w:sz w:val="22"/>
          <w:szCs w:val="22"/>
          <w:lang w:val="en-US" w:eastAsia="zh-CN"/>
        </w:rPr>
        <w:t>4.报价包含项目需求所有内容。</w:t>
      </w:r>
    </w:p>
    <w:p w14:paraId="7D268EB5">
      <w:pPr>
        <w:pStyle w:val="9"/>
        <w:ind w:left="0" w:leftChars="0" w:firstLine="240" w:firstLineChars="100"/>
        <w:rPr>
          <w:rFonts w:hint="eastAsia"/>
          <w:sz w:val="24"/>
          <w:szCs w:val="24"/>
          <w:lang w:val="en-US" w:eastAsia="zh-CN"/>
        </w:rPr>
      </w:pPr>
    </w:p>
    <w:p w14:paraId="52A5D92D">
      <w:pPr>
        <w:pStyle w:val="9"/>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报价单位（盖章）：</w:t>
      </w:r>
    </w:p>
    <w:p w14:paraId="45A87A2A">
      <w:pPr>
        <w:pStyle w:val="9"/>
        <w:ind w:left="0" w:leftChars="0" w:firstLine="241" w:firstLineChars="100"/>
        <w:rPr>
          <w:rFonts w:hint="eastAsia" w:ascii="宋体" w:hAnsi="宋体" w:cs="宋体"/>
          <w:b/>
          <w:bCs/>
          <w:color w:val="000000"/>
          <w:sz w:val="24"/>
          <w:szCs w:val="24"/>
          <w:lang w:val="en-US" w:eastAsia="zh-CN"/>
        </w:rPr>
      </w:pPr>
    </w:p>
    <w:p w14:paraId="7883C10F">
      <w:pPr>
        <w:pStyle w:val="9"/>
        <w:ind w:left="0" w:leftChars="0" w:firstLine="241" w:firstLineChars="100"/>
        <w:rPr>
          <w:rFonts w:hint="eastAsia" w:ascii="宋体" w:hAnsi="宋体" w:cs="宋体"/>
          <w:b/>
          <w:bCs/>
          <w:color w:val="000000"/>
          <w:sz w:val="24"/>
          <w:szCs w:val="24"/>
          <w:lang w:val="en-US" w:eastAsia="zh-CN"/>
        </w:rPr>
      </w:pPr>
    </w:p>
    <w:p w14:paraId="1E16198B">
      <w:pPr>
        <w:pStyle w:val="9"/>
        <w:ind w:left="0" w:leftChars="0" w:firstLine="241" w:firstLineChars="100"/>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联系人：                            联系方式：</w:t>
      </w:r>
    </w:p>
    <w:p w14:paraId="703EBC6A">
      <w:pPr>
        <w:pStyle w:val="9"/>
        <w:ind w:left="0" w:leftChars="0" w:firstLine="241" w:firstLineChars="100"/>
        <w:rPr>
          <w:rFonts w:hint="eastAsia" w:ascii="宋体" w:hAnsi="宋体" w:cs="宋体"/>
          <w:b/>
          <w:bCs/>
          <w:color w:val="000000"/>
          <w:sz w:val="24"/>
          <w:szCs w:val="24"/>
          <w:lang w:val="en-US" w:eastAsia="zh-CN"/>
        </w:rPr>
      </w:pPr>
    </w:p>
    <w:p w14:paraId="0B731BA9">
      <w:pPr>
        <w:pStyle w:val="9"/>
        <w:ind w:left="0" w:leftChars="0" w:firstLine="0" w:firstLineChars="0"/>
        <w:rPr>
          <w:rFonts w:hint="eastAsia" w:ascii="宋体" w:hAnsi="宋体" w:cs="宋体"/>
          <w:b/>
          <w:bCs/>
          <w:color w:val="000000"/>
          <w:sz w:val="24"/>
          <w:szCs w:val="24"/>
          <w:lang w:val="en-US" w:eastAsia="zh-CN"/>
        </w:rPr>
      </w:pPr>
    </w:p>
    <w:p w14:paraId="7C750390">
      <w:pPr>
        <w:pStyle w:val="9"/>
        <w:ind w:left="0" w:leftChars="0" w:firstLine="0" w:firstLineChars="0"/>
        <w:rPr>
          <w:rFonts w:hint="eastAsia" w:ascii="宋体" w:hAnsi="宋体" w:cs="宋体"/>
          <w:b/>
          <w:bCs/>
          <w:color w:val="000000"/>
          <w:sz w:val="24"/>
          <w:szCs w:val="24"/>
          <w:lang w:val="en-US" w:eastAsia="zh-CN"/>
        </w:rPr>
      </w:pPr>
    </w:p>
    <w:p w14:paraId="27330E48">
      <w:pPr>
        <w:jc w:val="both"/>
        <w:rPr>
          <w:rFonts w:hint="eastAsia" w:ascii="宋体" w:hAnsi="宋体" w:cs="宋体"/>
          <w:b/>
          <w:bCs/>
          <w:sz w:val="24"/>
          <w:szCs w:val="24"/>
          <w:lang w:val="en-US" w:eastAsia="zh-CN"/>
        </w:rPr>
      </w:pPr>
      <w:r>
        <w:rPr>
          <w:rFonts w:hint="eastAsia" w:asciiTheme="minorEastAsia" w:hAnsiTheme="minorEastAsia" w:eastAsiaTheme="minorEastAsia" w:cstheme="minorEastAsia"/>
          <w:sz w:val="24"/>
          <w:szCs w:val="24"/>
          <w:highlight w:val="green"/>
          <w:lang w:val="en-US" w:eastAsia="zh-CN"/>
        </w:rPr>
        <w:t>参与</w:t>
      </w:r>
      <w:r>
        <w:rPr>
          <w:rFonts w:hint="eastAsia" w:asciiTheme="minorEastAsia" w:hAnsiTheme="minorEastAsia" w:cstheme="minorEastAsia"/>
          <w:sz w:val="24"/>
          <w:szCs w:val="24"/>
          <w:highlight w:val="green"/>
          <w:lang w:val="en-US" w:eastAsia="zh-CN"/>
        </w:rPr>
        <w:t>报价的供</w:t>
      </w:r>
      <w:r>
        <w:rPr>
          <w:rFonts w:hint="eastAsia" w:asciiTheme="minorEastAsia" w:hAnsiTheme="minorEastAsia" w:eastAsiaTheme="minorEastAsia" w:cstheme="minorEastAsia"/>
          <w:sz w:val="24"/>
          <w:szCs w:val="24"/>
          <w:highlight w:val="green"/>
          <w:lang w:val="en-US" w:eastAsia="zh-CN"/>
        </w:rPr>
        <w:t>应商请于2026年</w:t>
      </w:r>
      <w:r>
        <w:rPr>
          <w:rFonts w:hint="eastAsia" w:asciiTheme="minorEastAsia" w:hAnsiTheme="minorEastAsia" w:cstheme="minorEastAsia"/>
          <w:sz w:val="24"/>
          <w:szCs w:val="24"/>
          <w:highlight w:val="green"/>
          <w:lang w:val="en-US" w:eastAsia="zh-CN"/>
        </w:rPr>
        <w:t>6</w:t>
      </w:r>
      <w:r>
        <w:rPr>
          <w:rFonts w:hint="eastAsia" w:asciiTheme="minorEastAsia" w:hAnsiTheme="minorEastAsia" w:eastAsiaTheme="minorEastAsia" w:cstheme="minorEastAsia"/>
          <w:sz w:val="24"/>
          <w:szCs w:val="24"/>
          <w:highlight w:val="green"/>
          <w:lang w:val="en-US" w:eastAsia="zh-CN"/>
        </w:rPr>
        <w:t>月</w:t>
      </w:r>
      <w:r>
        <w:rPr>
          <w:rFonts w:hint="eastAsia" w:asciiTheme="minorEastAsia" w:hAnsiTheme="minorEastAsia" w:cstheme="minorEastAsia"/>
          <w:sz w:val="24"/>
          <w:szCs w:val="24"/>
          <w:highlight w:val="green"/>
          <w:lang w:val="en-US" w:eastAsia="zh-CN"/>
        </w:rPr>
        <w:t>8</w:t>
      </w:r>
      <w:r>
        <w:rPr>
          <w:rFonts w:hint="eastAsia" w:asciiTheme="minorEastAsia" w:hAnsiTheme="minorEastAsia" w:eastAsiaTheme="minorEastAsia" w:cstheme="minorEastAsia"/>
          <w:sz w:val="24"/>
          <w:szCs w:val="24"/>
          <w:highlight w:val="green"/>
          <w:lang w:val="en-US" w:eastAsia="zh-CN"/>
        </w:rPr>
        <w:t>日</w:t>
      </w:r>
      <w:r>
        <w:rPr>
          <w:rFonts w:hint="eastAsia" w:asciiTheme="minorEastAsia" w:hAnsiTheme="minorEastAsia" w:cstheme="minorEastAsia"/>
          <w:sz w:val="24"/>
          <w:szCs w:val="24"/>
          <w:highlight w:val="green"/>
          <w:lang w:val="en-US" w:eastAsia="zh-CN"/>
        </w:rPr>
        <w:t>9</w:t>
      </w:r>
      <w:r>
        <w:rPr>
          <w:rFonts w:hint="eastAsia" w:asciiTheme="minorEastAsia" w:hAnsiTheme="minorEastAsia" w:eastAsiaTheme="minorEastAsia" w:cstheme="minorEastAsia"/>
          <w:sz w:val="24"/>
          <w:szCs w:val="24"/>
          <w:highlight w:val="green"/>
          <w:lang w:val="en-US" w:eastAsia="zh-CN"/>
        </w:rPr>
        <w:t>:00前，将</w:t>
      </w:r>
      <w:r>
        <w:rPr>
          <w:rFonts w:hint="eastAsia" w:asciiTheme="minorEastAsia" w:hAnsiTheme="minorEastAsia" w:cstheme="minorEastAsia"/>
          <w:sz w:val="24"/>
          <w:szCs w:val="24"/>
          <w:highlight w:val="green"/>
          <w:lang w:val="en-US" w:eastAsia="zh-CN"/>
        </w:rPr>
        <w:t>【报价一览表】所有内容PDF版加盖公章，</w:t>
      </w:r>
      <w:r>
        <w:rPr>
          <w:rFonts w:hint="eastAsia" w:asciiTheme="minorEastAsia" w:hAnsiTheme="minorEastAsia" w:eastAsiaTheme="minorEastAsia" w:cstheme="minorEastAsia"/>
          <w:sz w:val="24"/>
          <w:szCs w:val="24"/>
          <w:highlight w:val="green"/>
          <w:lang w:val="en-US" w:eastAsia="zh-CN"/>
        </w:rPr>
        <w:t>发送至邮箱：</w:t>
      </w:r>
      <w:r>
        <w:rPr>
          <w:rFonts w:hint="eastAsia" w:asciiTheme="minorEastAsia" w:hAnsiTheme="minorEastAsia" w:eastAsiaTheme="minorEastAsia" w:cstheme="minorEastAsia"/>
          <w:sz w:val="24"/>
          <w:szCs w:val="24"/>
          <w:highlight w:val="green"/>
          <w:lang w:val="en-US" w:eastAsia="zh-CN"/>
        </w:rPr>
        <w:fldChar w:fldCharType="begin"/>
      </w:r>
      <w:r>
        <w:rPr>
          <w:rFonts w:hint="eastAsia" w:asciiTheme="minorEastAsia" w:hAnsiTheme="minorEastAsia" w:eastAsiaTheme="minorEastAsia" w:cstheme="minorEastAsia"/>
          <w:sz w:val="24"/>
          <w:szCs w:val="24"/>
          <w:highlight w:val="green"/>
          <w:lang w:val="en-US" w:eastAsia="zh-CN"/>
        </w:rPr>
        <w:instrText xml:space="preserve"> HYPERLINK "mailto:caigoubu@huh.edu.cn）" </w:instrText>
      </w:r>
      <w:r>
        <w:rPr>
          <w:rFonts w:hint="eastAsia" w:asciiTheme="minorEastAsia" w:hAnsiTheme="minorEastAsia" w:eastAsiaTheme="minorEastAsia" w:cstheme="minorEastAsia"/>
          <w:sz w:val="24"/>
          <w:szCs w:val="24"/>
          <w:highlight w:val="green"/>
          <w:lang w:val="en-US" w:eastAsia="zh-CN"/>
        </w:rPr>
        <w:fldChar w:fldCharType="separate"/>
      </w:r>
      <w:r>
        <w:rPr>
          <w:rStyle w:val="8"/>
          <w:rFonts w:hint="eastAsia" w:asciiTheme="minorEastAsia" w:hAnsiTheme="minorEastAsia" w:eastAsiaTheme="minorEastAsia" w:cstheme="minorEastAsia"/>
          <w:sz w:val="24"/>
          <w:szCs w:val="24"/>
          <w:highlight w:val="green"/>
          <w:lang w:val="en-US" w:eastAsia="zh-CN"/>
        </w:rPr>
        <w:t>caigoubu@huh.edu.cn</w:t>
      </w:r>
      <w:r>
        <w:rPr>
          <w:rStyle w:val="8"/>
          <w:rFonts w:hint="eastAsia" w:asciiTheme="minorEastAsia" w:hAnsiTheme="minorEastAsia" w:cstheme="minorEastAsia"/>
          <w:sz w:val="24"/>
          <w:szCs w:val="24"/>
          <w:highlight w:val="green"/>
          <w:lang w:val="en-US" w:eastAsia="zh-CN"/>
        </w:rPr>
        <w:t>）</w:t>
      </w:r>
      <w:r>
        <w:rPr>
          <w:rFonts w:hint="eastAsia" w:asciiTheme="minorEastAsia" w:hAnsiTheme="minorEastAsia" w:eastAsiaTheme="minorEastAsia" w:cstheme="minorEastAsia"/>
          <w:sz w:val="24"/>
          <w:szCs w:val="24"/>
          <w:highlight w:val="green"/>
          <w:lang w:val="en-US" w:eastAsia="zh-CN"/>
        </w:rPr>
        <w:fldChar w:fldCharType="end"/>
      </w:r>
    </w:p>
    <w:p w14:paraId="4F8E63A4">
      <w:pPr>
        <w:pStyle w:val="9"/>
        <w:ind w:left="0" w:leftChars="0" w:firstLine="0" w:firstLineChars="0"/>
        <w:rPr>
          <w:rFonts w:hint="eastAsia" w:ascii="宋体" w:hAnsi="宋体" w:cs="宋体"/>
          <w:b/>
          <w:bCs/>
          <w:color w:val="000000"/>
          <w:sz w:val="24"/>
          <w:szCs w:val="24"/>
          <w:lang w:val="en-US" w:eastAsia="zh-CN"/>
        </w:rPr>
      </w:pPr>
    </w:p>
    <w:sectPr>
      <w:headerReference r:id="rId3" w:type="default"/>
      <w:footerReference r:id="rId4" w:type="default"/>
      <w:pgSz w:w="11906" w:h="16838"/>
      <w:pgMar w:top="840" w:right="786" w:bottom="878" w:left="620" w:header="454" w:footer="283"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ºÚÌå">
    <w:altName w:val="Arial"/>
    <w:panose1 w:val="00000000000000000000"/>
    <w:charset w:val="00"/>
    <w:family w:val="swiss"/>
    <w:pitch w:val="default"/>
    <w:sig w:usb0="00000000" w:usb1="00000000" w:usb2="00000000" w:usb3="00000000" w:csb0="0000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36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F8C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CF8C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9B5C">
    <w:pPr>
      <w:pStyle w:val="3"/>
      <w:pBdr>
        <w:bottom w:val="none" w:color="auto" w:sz="0" w:space="1"/>
      </w:pBdr>
      <w:tabs>
        <w:tab w:val="left" w:pos="8020"/>
        <w:tab w:val="clear" w:pos="4153"/>
      </w:tabs>
      <w:jc w:val="both"/>
      <w:rPr>
        <w:rFonts w:hint="eastAsia" w:eastAsia="宋体"/>
        <w:sz w:val="15"/>
        <w:szCs w:val="20"/>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5BA75"/>
    <w:multiLevelType w:val="singleLevel"/>
    <w:tmpl w:val="3215BA7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15BA"/>
    <w:rsid w:val="076F41ED"/>
    <w:rsid w:val="094B0074"/>
    <w:rsid w:val="105F66A4"/>
    <w:rsid w:val="10D048BA"/>
    <w:rsid w:val="1B022357"/>
    <w:rsid w:val="1B155DAE"/>
    <w:rsid w:val="1BE614F8"/>
    <w:rsid w:val="212705E9"/>
    <w:rsid w:val="23344B38"/>
    <w:rsid w:val="23566F63"/>
    <w:rsid w:val="23A55102"/>
    <w:rsid w:val="29DA5475"/>
    <w:rsid w:val="2B131672"/>
    <w:rsid w:val="2B634913"/>
    <w:rsid w:val="2E786928"/>
    <w:rsid w:val="2F177EEF"/>
    <w:rsid w:val="309335A5"/>
    <w:rsid w:val="34251C61"/>
    <w:rsid w:val="37B71EE9"/>
    <w:rsid w:val="3B9F3746"/>
    <w:rsid w:val="3F5220BF"/>
    <w:rsid w:val="40047A37"/>
    <w:rsid w:val="496F4ABD"/>
    <w:rsid w:val="4A534079"/>
    <w:rsid w:val="4BE17463"/>
    <w:rsid w:val="4FFE4A87"/>
    <w:rsid w:val="50D949D1"/>
    <w:rsid w:val="53DB6E8D"/>
    <w:rsid w:val="55EE10FA"/>
    <w:rsid w:val="59D46859"/>
    <w:rsid w:val="5A656C82"/>
    <w:rsid w:val="5D9407D9"/>
    <w:rsid w:val="6065645C"/>
    <w:rsid w:val="60A81C7D"/>
    <w:rsid w:val="633D721D"/>
    <w:rsid w:val="638768ED"/>
    <w:rsid w:val="695B03FD"/>
    <w:rsid w:val="6A2E3D63"/>
    <w:rsid w:val="6C944439"/>
    <w:rsid w:val="6DD4077E"/>
    <w:rsid w:val="719F1800"/>
    <w:rsid w:val="71A05546"/>
    <w:rsid w:val="739E7864"/>
    <w:rsid w:val="7416564C"/>
    <w:rsid w:val="753164B5"/>
    <w:rsid w:val="76285B0A"/>
    <w:rsid w:val="76C92E49"/>
    <w:rsid w:val="79951709"/>
    <w:rsid w:val="7A7E5845"/>
    <w:rsid w:val="7DCA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 w:type="paragraph" w:styleId="9">
    <w:name w:val="List Paragraph"/>
    <w:basedOn w:val="1"/>
    <w:qFormat/>
    <w:uiPriority w:val="34"/>
    <w:pPr>
      <w:ind w:firstLine="420"/>
    </w:pPr>
  </w:style>
  <w:style w:type="paragraph" w:customStyle="1" w:styleId="10">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2"/>
    <w:qFormat/>
    <w:uiPriority w:val="99"/>
    <w:pPr>
      <w:ind w:firstLine="420"/>
    </w:pPr>
    <w:rPr>
      <w:rFonts w:ascii="Times New Roman" w:hAnsi="Times New Roman" w:eastAsia="宋体"/>
      <w:szCs w:val="20"/>
    </w:rPr>
  </w:style>
  <w:style w:type="paragraph" w:customStyle="1" w:styleId="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7554</Words>
  <Characters>7739</Characters>
  <Lines>0</Lines>
  <Paragraphs>0</Paragraphs>
  <TotalTime>2</TotalTime>
  <ScaleCrop>false</ScaleCrop>
  <LinksUpToDate>false</LinksUpToDate>
  <CharactersWithSpaces>7941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2026-05-27T01:58:00Z</dcterms:created>
  <dc:creator>DELL</dc:creator>
  <cp:lastModifiedBy>YImo</cp:lastModifiedBy>
  <dcterms:modified xsi:type="dcterms:W3CDTF">2026-05-28T01:40:37Z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eyJoZGlkIjoiNTY3NmMzYTI2NWI2ODcxZGNlNmQzNGY2N2RkYWM3NWQiLCJ1c2VySWQiOiI0NjE4NTMxMDUifQ==</vt:lpwstr>
  </property>
  <property fmtid="{D5CDD505-2E9C-101B-9397-08002B2CF9AE}" pid="4" name="ICV">
    <vt:lpwstr>EBE4DEDE45AA49E2BEA273D1E39E05FA_12</vt:lpwstr>
  </property>
</Properties>
</file>