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7F4D79">
      <w:pPr>
        <w:spacing w:line="240" w:lineRule="auto"/>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辽宁何氏医学院</w:t>
      </w:r>
    </w:p>
    <w:p w14:paraId="3DFC2F82">
      <w:pPr>
        <w:spacing w:line="240" w:lineRule="auto"/>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2026-2027年度消防设施维护保养项目</w:t>
      </w:r>
    </w:p>
    <w:p w14:paraId="6AF5D590">
      <w:pPr>
        <w:spacing w:line="240" w:lineRule="auto"/>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询比价文件</w:t>
      </w:r>
    </w:p>
    <w:p w14:paraId="5899CE36">
      <w:pPr>
        <w:widowControl w:val="0"/>
        <w:spacing w:after="0" w:line="360" w:lineRule="auto"/>
        <w:ind w:firstLine="482" w:firstLineChars="200"/>
        <w:jc w:val="both"/>
        <w:rPr>
          <w:rFonts w:hint="default" w:ascii="宋体" w:hAnsi="宋体" w:eastAsia="宋体" w:cs="Times New Roman"/>
          <w:b/>
          <w:bCs/>
          <w:color w:val="000000" w:themeColor="text1"/>
          <w:kern w:val="2"/>
          <w:sz w:val="24"/>
          <w:szCs w:val="24"/>
          <w:highlight w:val="none"/>
          <w:lang w:val="en-US" w:eastAsia="zh-CN"/>
          <w14:textFill>
            <w14:solidFill>
              <w14:schemeClr w14:val="tx1"/>
            </w14:solidFill>
          </w14:textFill>
        </w:rPr>
      </w:pPr>
      <w:r>
        <w:rPr>
          <w:rFonts w:hint="eastAsia" w:ascii="宋体" w:hAnsi="宋体" w:eastAsia="宋体" w:cs="Times New Roman"/>
          <w:b/>
          <w:bCs/>
          <w:color w:val="000000" w:themeColor="text1"/>
          <w:kern w:val="2"/>
          <w:sz w:val="24"/>
          <w:szCs w:val="24"/>
          <w:highlight w:val="none"/>
          <w:lang w:val="en-US" w:eastAsia="zh-CN"/>
          <w14:textFill>
            <w14:solidFill>
              <w14:schemeClr w14:val="tx1"/>
            </w14:solidFill>
          </w14:textFill>
        </w:rPr>
        <w:t>（一）项目需求</w:t>
      </w:r>
    </w:p>
    <w:p w14:paraId="3A84E94D">
      <w:pPr>
        <w:widowControl w:val="0"/>
        <w:spacing w:after="0" w:line="360" w:lineRule="auto"/>
        <w:ind w:firstLine="440" w:firstLineChars="200"/>
        <w:jc w:val="both"/>
        <w:rPr>
          <w:rFonts w:hint="eastAsia" w:ascii="宋体" w:hAnsi="宋体" w:eastAsia="宋体" w:cs="Times New Roman"/>
          <w:b w:val="0"/>
          <w:bCs w:val="0"/>
          <w:color w:val="000000" w:themeColor="text1"/>
          <w:kern w:val="2"/>
          <w:sz w:val="22"/>
          <w:szCs w:val="22"/>
          <w:highlight w:val="none"/>
          <w:lang w:eastAsia="zh-CN"/>
          <w14:textFill>
            <w14:solidFill>
              <w14:schemeClr w14:val="tx1"/>
            </w14:solidFill>
          </w14:textFill>
        </w:rPr>
      </w:pPr>
      <w:r>
        <w:rPr>
          <w:rFonts w:hint="eastAsia" w:ascii="宋体" w:hAnsi="宋体" w:eastAsia="宋体" w:cs="Times New Roman"/>
          <w:b w:val="0"/>
          <w:bCs w:val="0"/>
          <w:color w:val="000000" w:themeColor="text1"/>
          <w:kern w:val="2"/>
          <w:sz w:val="22"/>
          <w:szCs w:val="22"/>
          <w:highlight w:val="none"/>
          <w:lang w:eastAsia="zh-CN"/>
          <w14:textFill>
            <w14:solidFill>
              <w14:schemeClr w14:val="tx1"/>
            </w14:solidFill>
          </w14:textFill>
        </w:rPr>
        <w:t>为全面提升校园消防安全保障能力，确保所有消防设施时刻处于完好有效的战备状态，切实维护广大师生员工生命财产安全，现就我校202</w:t>
      </w:r>
      <w:r>
        <w:rPr>
          <w:rFonts w:hint="eastAsia" w:ascii="宋体" w:hAnsi="宋体" w:eastAsia="宋体" w:cs="Times New Roman"/>
          <w:b w:val="0"/>
          <w:bCs w:val="0"/>
          <w:color w:val="000000" w:themeColor="text1"/>
          <w:kern w:val="2"/>
          <w:sz w:val="22"/>
          <w:szCs w:val="22"/>
          <w:highlight w:val="none"/>
          <w:lang w:val="en-US" w:eastAsia="zh-CN"/>
          <w14:textFill>
            <w14:solidFill>
              <w14:schemeClr w14:val="tx1"/>
            </w14:solidFill>
          </w14:textFill>
        </w:rPr>
        <w:t>6</w:t>
      </w:r>
      <w:r>
        <w:rPr>
          <w:rFonts w:hint="eastAsia" w:ascii="宋体" w:hAnsi="宋体" w:eastAsia="宋体" w:cs="Times New Roman"/>
          <w:b w:val="0"/>
          <w:bCs w:val="0"/>
          <w:color w:val="000000" w:themeColor="text1"/>
          <w:kern w:val="2"/>
          <w:sz w:val="22"/>
          <w:szCs w:val="22"/>
          <w:highlight w:val="none"/>
          <w:lang w:eastAsia="zh-CN"/>
          <w14:textFill>
            <w14:solidFill>
              <w14:schemeClr w14:val="tx1"/>
            </w14:solidFill>
          </w14:textFill>
        </w:rPr>
        <w:t>-202</w:t>
      </w:r>
      <w:r>
        <w:rPr>
          <w:rFonts w:hint="eastAsia" w:ascii="宋体" w:hAnsi="宋体" w:eastAsia="宋体" w:cs="Times New Roman"/>
          <w:b w:val="0"/>
          <w:bCs w:val="0"/>
          <w:color w:val="000000" w:themeColor="text1"/>
          <w:kern w:val="2"/>
          <w:sz w:val="22"/>
          <w:szCs w:val="22"/>
          <w:highlight w:val="none"/>
          <w:lang w:val="en-US" w:eastAsia="zh-CN"/>
          <w14:textFill>
            <w14:solidFill>
              <w14:schemeClr w14:val="tx1"/>
            </w14:solidFill>
          </w14:textFill>
        </w:rPr>
        <w:t>7</w:t>
      </w:r>
      <w:r>
        <w:rPr>
          <w:rFonts w:hint="eastAsia" w:ascii="宋体" w:hAnsi="宋体" w:eastAsia="宋体" w:cs="Times New Roman"/>
          <w:b w:val="0"/>
          <w:bCs w:val="0"/>
          <w:color w:val="000000" w:themeColor="text1"/>
          <w:kern w:val="2"/>
          <w:sz w:val="22"/>
          <w:szCs w:val="22"/>
          <w:highlight w:val="none"/>
          <w:lang w:eastAsia="zh-CN"/>
          <w14:textFill>
            <w14:solidFill>
              <w14:schemeClr w14:val="tx1"/>
            </w14:solidFill>
          </w14:textFill>
        </w:rPr>
        <w:t>年度消防设施系统化、专业化维护保养服务，制定本需求方案。</w:t>
      </w:r>
    </w:p>
    <w:p w14:paraId="35B4D309">
      <w:pPr>
        <w:widowControl w:val="0"/>
        <w:spacing w:after="0" w:line="360" w:lineRule="auto"/>
        <w:ind w:firstLine="440" w:firstLineChars="200"/>
        <w:jc w:val="both"/>
        <w:rPr>
          <w:rFonts w:hint="eastAsia" w:ascii="宋体" w:hAnsi="宋体" w:eastAsia="宋体" w:cs="Times New Roman"/>
          <w:b w:val="0"/>
          <w:bCs w:val="0"/>
          <w:color w:val="000000" w:themeColor="text1"/>
          <w:kern w:val="2"/>
          <w:sz w:val="22"/>
          <w:szCs w:val="22"/>
          <w:highlight w:val="none"/>
          <w:lang w:eastAsia="zh-CN"/>
          <w14:textFill>
            <w14:solidFill>
              <w14:schemeClr w14:val="tx1"/>
            </w14:solidFill>
          </w14:textFill>
        </w:rPr>
      </w:pPr>
      <w:r>
        <w:rPr>
          <w:rFonts w:hint="eastAsia" w:ascii="宋体" w:hAnsi="宋体" w:eastAsia="宋体" w:cs="Times New Roman"/>
          <w:b w:val="0"/>
          <w:bCs w:val="0"/>
          <w:color w:val="000000" w:themeColor="text1"/>
          <w:kern w:val="2"/>
          <w:sz w:val="22"/>
          <w:szCs w:val="22"/>
          <w:highlight w:val="none"/>
          <w:lang w:eastAsia="zh-CN"/>
          <w14:textFill>
            <w14:solidFill>
              <w14:schemeClr w14:val="tx1"/>
            </w14:solidFill>
          </w14:textFill>
        </w:rPr>
        <w:t>一、 项目总体要求</w:t>
      </w:r>
    </w:p>
    <w:p w14:paraId="354AA5AB">
      <w:pPr>
        <w:widowControl w:val="0"/>
        <w:spacing w:after="0" w:line="360" w:lineRule="auto"/>
        <w:ind w:firstLine="440" w:firstLineChars="200"/>
        <w:jc w:val="both"/>
        <w:rPr>
          <w:rFonts w:hint="eastAsia" w:ascii="宋体" w:hAnsi="宋体" w:eastAsia="宋体" w:cs="Times New Roman"/>
          <w:b w:val="0"/>
          <w:bCs w:val="0"/>
          <w:color w:val="000000" w:themeColor="text1"/>
          <w:kern w:val="2"/>
          <w:sz w:val="22"/>
          <w:szCs w:val="22"/>
          <w:highlight w:val="none"/>
          <w:lang w:eastAsia="zh-CN"/>
          <w14:textFill>
            <w14:solidFill>
              <w14:schemeClr w14:val="tx1"/>
            </w14:solidFill>
          </w14:textFill>
        </w:rPr>
      </w:pPr>
      <w:r>
        <w:rPr>
          <w:rFonts w:hint="eastAsia" w:ascii="宋体" w:hAnsi="宋体" w:eastAsia="宋体" w:cs="Times New Roman"/>
          <w:b w:val="0"/>
          <w:bCs w:val="0"/>
          <w:color w:val="000000" w:themeColor="text1"/>
          <w:kern w:val="2"/>
          <w:sz w:val="22"/>
          <w:szCs w:val="22"/>
          <w:highlight w:val="none"/>
          <w:lang w:eastAsia="zh-CN"/>
          <w14:textFill>
            <w14:solidFill>
              <w14:schemeClr w14:val="tx1"/>
            </w14:solidFill>
          </w14:textFill>
        </w:rPr>
        <w:t>1.服务商资质：承接服务的供应商（乙方）必须持有合法有效的营业执照，并具备国家应急管理部门规定的《消防技术服务机构从业条件》所要求的相应资质。维保期内，乙方须提供由具备资质的第三方技术服务机构出具的、涵盖本需求范围全部设施的系统年度检测报告，以协助甲方（校方）应对社会消防监督机构的检查。</w:t>
      </w:r>
    </w:p>
    <w:p w14:paraId="4A50185F">
      <w:pPr>
        <w:widowControl w:val="0"/>
        <w:spacing w:after="0" w:line="360" w:lineRule="auto"/>
        <w:ind w:firstLine="440" w:firstLineChars="200"/>
        <w:jc w:val="both"/>
        <w:rPr>
          <w:rFonts w:hint="eastAsia" w:ascii="宋体" w:hAnsi="宋体" w:eastAsia="宋体" w:cs="Times New Roman"/>
          <w:b w:val="0"/>
          <w:bCs w:val="0"/>
          <w:color w:val="000000" w:themeColor="text1"/>
          <w:kern w:val="2"/>
          <w:sz w:val="22"/>
          <w:szCs w:val="22"/>
          <w:highlight w:val="none"/>
          <w:lang w:eastAsia="zh-CN"/>
          <w14:textFill>
            <w14:solidFill>
              <w14:schemeClr w14:val="tx1"/>
            </w14:solidFill>
          </w14:textFill>
        </w:rPr>
      </w:pPr>
      <w:r>
        <w:rPr>
          <w:rFonts w:hint="eastAsia" w:ascii="宋体" w:hAnsi="宋体" w:eastAsia="宋体" w:cs="Times New Roman"/>
          <w:b w:val="0"/>
          <w:bCs w:val="0"/>
          <w:color w:val="000000" w:themeColor="text1"/>
          <w:kern w:val="2"/>
          <w:sz w:val="22"/>
          <w:szCs w:val="22"/>
          <w:highlight w:val="none"/>
          <w:lang w:eastAsia="zh-CN"/>
          <w14:textFill>
            <w14:solidFill>
              <w14:schemeClr w14:val="tx1"/>
            </w14:solidFill>
          </w14:textFill>
        </w:rPr>
        <w:t>2.工作标准：所有维护保养、检测测试及维修作业，必须严格遵循《建筑消防设施的维护管理》（GB 25201）、《火灾自动报警系统施工及验收标准》（GB 50166）等国家、行业及地方现行的全部强制性标准和规范。</w:t>
      </w:r>
    </w:p>
    <w:p w14:paraId="237180F0">
      <w:pPr>
        <w:widowControl w:val="0"/>
        <w:spacing w:after="0" w:line="360" w:lineRule="auto"/>
        <w:ind w:firstLine="440" w:firstLineChars="200"/>
        <w:jc w:val="both"/>
        <w:rPr>
          <w:rFonts w:hint="eastAsia" w:ascii="宋体" w:hAnsi="宋体" w:eastAsia="宋体" w:cs="Times New Roman"/>
          <w:b w:val="0"/>
          <w:bCs w:val="0"/>
          <w:color w:val="000000" w:themeColor="text1"/>
          <w:kern w:val="2"/>
          <w:sz w:val="22"/>
          <w:szCs w:val="22"/>
          <w:highlight w:val="none"/>
          <w:lang w:eastAsia="zh-CN"/>
          <w14:textFill>
            <w14:solidFill>
              <w14:schemeClr w14:val="tx1"/>
            </w14:solidFill>
          </w14:textFill>
        </w:rPr>
      </w:pPr>
      <w:r>
        <w:rPr>
          <w:rFonts w:hint="eastAsia" w:ascii="宋体" w:hAnsi="宋体" w:eastAsia="宋体" w:cs="Times New Roman"/>
          <w:b w:val="0"/>
          <w:bCs w:val="0"/>
          <w:color w:val="000000" w:themeColor="text1"/>
          <w:kern w:val="2"/>
          <w:sz w:val="22"/>
          <w:szCs w:val="22"/>
          <w:highlight w:val="none"/>
          <w:lang w:eastAsia="zh-CN"/>
          <w14:textFill>
            <w14:solidFill>
              <w14:schemeClr w14:val="tx1"/>
            </w14:solidFill>
          </w14:textFill>
        </w:rPr>
        <w:t>3.服务目标：确保全校范围内所有消防设施系统（火灾自动报警、自动灭火、防排烟、应急疏散、消防给水等）全年365天运行正常、功能完备，随时处于可靠联动状态，满足消防法规要求及校园日常与应急安全保障需求。</w:t>
      </w:r>
    </w:p>
    <w:p w14:paraId="32861189">
      <w:pPr>
        <w:widowControl w:val="0"/>
        <w:spacing w:after="0" w:line="360" w:lineRule="auto"/>
        <w:ind w:firstLine="440" w:firstLineChars="200"/>
        <w:jc w:val="both"/>
        <w:rPr>
          <w:rFonts w:hint="eastAsia" w:ascii="宋体" w:hAnsi="宋体" w:eastAsia="宋体" w:cs="Times New Roman"/>
          <w:b w:val="0"/>
          <w:bCs w:val="0"/>
          <w:color w:val="000000" w:themeColor="text1"/>
          <w:kern w:val="2"/>
          <w:sz w:val="22"/>
          <w:szCs w:val="22"/>
          <w:highlight w:val="none"/>
          <w:lang w:eastAsia="zh-CN"/>
          <w14:textFill>
            <w14:solidFill>
              <w14:schemeClr w14:val="tx1"/>
            </w14:solidFill>
          </w14:textFill>
        </w:rPr>
      </w:pPr>
      <w:r>
        <w:rPr>
          <w:rFonts w:hint="eastAsia" w:ascii="宋体" w:hAnsi="宋体" w:eastAsia="宋体" w:cs="Times New Roman"/>
          <w:b w:val="0"/>
          <w:bCs w:val="0"/>
          <w:color w:val="000000" w:themeColor="text1"/>
          <w:kern w:val="2"/>
          <w:sz w:val="22"/>
          <w:szCs w:val="22"/>
          <w:highlight w:val="none"/>
          <w:lang w:eastAsia="zh-CN"/>
          <w14:textFill>
            <w14:solidFill>
              <w14:schemeClr w14:val="tx1"/>
            </w14:solidFill>
          </w14:textFill>
        </w:rPr>
        <w:t>二、 服务范围界定：建筑与设施概况</w:t>
      </w:r>
    </w:p>
    <w:p w14:paraId="68C1DC00">
      <w:pPr>
        <w:widowControl w:val="0"/>
        <w:spacing w:after="0" w:line="360" w:lineRule="auto"/>
        <w:ind w:firstLine="440" w:firstLineChars="200"/>
        <w:jc w:val="both"/>
        <w:rPr>
          <w:rFonts w:hint="eastAsia" w:ascii="宋体" w:hAnsi="宋体" w:eastAsia="宋体" w:cs="Times New Roman"/>
          <w:b w:val="0"/>
          <w:bCs w:val="0"/>
          <w:color w:val="000000" w:themeColor="text1"/>
          <w:kern w:val="2"/>
          <w:sz w:val="22"/>
          <w:szCs w:val="22"/>
          <w:highlight w:val="none"/>
          <w:lang w:eastAsia="zh-CN"/>
          <w14:textFill>
            <w14:solidFill>
              <w14:schemeClr w14:val="tx1"/>
            </w14:solidFill>
          </w14:textFill>
        </w:rPr>
      </w:pPr>
      <w:r>
        <w:rPr>
          <w:rFonts w:hint="eastAsia" w:ascii="宋体" w:hAnsi="宋体" w:eastAsia="宋体" w:cs="Times New Roman"/>
          <w:b w:val="0"/>
          <w:bCs w:val="0"/>
          <w:color w:val="000000" w:themeColor="text1"/>
          <w:kern w:val="2"/>
          <w:sz w:val="22"/>
          <w:szCs w:val="22"/>
          <w:highlight w:val="none"/>
          <w:lang w:eastAsia="zh-CN"/>
          <w14:textFill>
            <w14:solidFill>
              <w14:schemeClr w14:val="tx1"/>
            </w14:solidFill>
          </w14:textFill>
        </w:rPr>
        <w:t>本次维保服务全面覆盖中心校区、南校区、北校区，共计45栋建筑，各校区详细情况如下：</w:t>
      </w:r>
    </w:p>
    <w:p w14:paraId="6CD08524">
      <w:pPr>
        <w:widowControl w:val="0"/>
        <w:spacing w:after="0" w:line="360" w:lineRule="auto"/>
        <w:ind w:firstLine="440" w:firstLineChars="200"/>
        <w:jc w:val="both"/>
        <w:rPr>
          <w:rFonts w:hint="eastAsia" w:ascii="宋体" w:hAnsi="宋体" w:eastAsia="宋体" w:cs="Times New Roman"/>
          <w:b w:val="0"/>
          <w:bCs w:val="0"/>
          <w:color w:val="000000" w:themeColor="text1"/>
          <w:kern w:val="2"/>
          <w:sz w:val="22"/>
          <w:szCs w:val="22"/>
          <w:highlight w:val="none"/>
          <w:lang w:eastAsia="zh-CN"/>
          <w14:textFill>
            <w14:solidFill>
              <w14:schemeClr w14:val="tx1"/>
            </w14:solidFill>
          </w14:textFill>
        </w:rPr>
      </w:pPr>
      <w:r>
        <w:rPr>
          <w:rFonts w:hint="eastAsia" w:ascii="宋体" w:hAnsi="宋体" w:eastAsia="宋体" w:cs="Times New Roman"/>
          <w:b w:val="0"/>
          <w:bCs w:val="0"/>
          <w:color w:val="000000" w:themeColor="text1"/>
          <w:kern w:val="2"/>
          <w:sz w:val="22"/>
          <w:szCs w:val="22"/>
          <w:highlight w:val="none"/>
          <w:lang w:eastAsia="zh-CN"/>
          <w14:textFill>
            <w14:solidFill>
              <w14:schemeClr w14:val="tx1"/>
            </w14:solidFill>
          </w14:textFill>
        </w:rPr>
        <w:t>(一) 中心校区</w:t>
      </w:r>
    </w:p>
    <w:p w14:paraId="1CB25A70">
      <w:pPr>
        <w:widowControl w:val="0"/>
        <w:spacing w:after="0" w:line="360" w:lineRule="auto"/>
        <w:ind w:firstLine="440" w:firstLineChars="200"/>
        <w:jc w:val="both"/>
        <w:rPr>
          <w:rFonts w:hint="eastAsia" w:ascii="宋体" w:hAnsi="宋体" w:eastAsia="宋体" w:cs="Times New Roman"/>
          <w:b w:val="0"/>
          <w:bCs w:val="0"/>
          <w:color w:val="000000" w:themeColor="text1"/>
          <w:kern w:val="2"/>
          <w:sz w:val="22"/>
          <w:szCs w:val="22"/>
          <w:highlight w:val="none"/>
          <w:lang w:eastAsia="zh-CN"/>
          <w14:textFill>
            <w14:solidFill>
              <w14:schemeClr w14:val="tx1"/>
            </w14:solidFill>
          </w14:textFill>
        </w:rPr>
      </w:pPr>
      <w:r>
        <w:rPr>
          <w:rFonts w:hint="eastAsia" w:ascii="宋体" w:hAnsi="宋体" w:eastAsia="宋体" w:cs="Times New Roman"/>
          <w:b w:val="0"/>
          <w:bCs w:val="0"/>
          <w:color w:val="000000" w:themeColor="text1"/>
          <w:kern w:val="2"/>
          <w:sz w:val="22"/>
          <w:szCs w:val="22"/>
          <w:highlight w:val="none"/>
          <w:lang w:val="en-US" w:eastAsia="zh-CN"/>
          <w14:textFill>
            <w14:solidFill>
              <w14:schemeClr w14:val="tx1"/>
            </w14:solidFill>
          </w14:textFill>
        </w:rPr>
        <w:t>1.</w:t>
      </w:r>
      <w:r>
        <w:rPr>
          <w:rFonts w:hint="eastAsia" w:ascii="宋体" w:hAnsi="宋体" w:eastAsia="宋体" w:cs="Times New Roman"/>
          <w:b w:val="0"/>
          <w:bCs w:val="0"/>
          <w:color w:val="000000" w:themeColor="text1"/>
          <w:kern w:val="2"/>
          <w:sz w:val="22"/>
          <w:szCs w:val="22"/>
          <w:highlight w:val="none"/>
          <w:lang w:eastAsia="zh-CN"/>
          <w14:textFill>
            <w14:solidFill>
              <w14:schemeClr w14:val="tx1"/>
            </w14:solidFill>
          </w14:textFill>
        </w:rPr>
        <w:t>教学与生活区（核心区）：涵盖教学楼、办公楼、图书馆、学生宿舍、食堂等34栋建筑，总建筑面积约13.</w:t>
      </w:r>
      <w:r>
        <w:rPr>
          <w:rFonts w:hint="eastAsia" w:ascii="宋体" w:hAnsi="宋体" w:eastAsia="宋体" w:cs="Times New Roman"/>
          <w:b w:val="0"/>
          <w:bCs w:val="0"/>
          <w:color w:val="000000" w:themeColor="text1"/>
          <w:kern w:val="2"/>
          <w:sz w:val="22"/>
          <w:szCs w:val="22"/>
          <w:highlight w:val="none"/>
          <w:lang w:val="en-US" w:eastAsia="zh-CN"/>
          <w14:textFill>
            <w14:solidFill>
              <w14:schemeClr w14:val="tx1"/>
            </w14:solidFill>
          </w14:textFill>
        </w:rPr>
        <w:t>3</w:t>
      </w:r>
      <w:r>
        <w:rPr>
          <w:rFonts w:hint="eastAsia" w:ascii="宋体" w:hAnsi="宋体" w:eastAsia="宋体" w:cs="Times New Roman"/>
          <w:b w:val="0"/>
          <w:bCs w:val="0"/>
          <w:color w:val="000000" w:themeColor="text1"/>
          <w:kern w:val="2"/>
          <w:sz w:val="22"/>
          <w:szCs w:val="22"/>
          <w:highlight w:val="none"/>
          <w:lang w:eastAsia="zh-CN"/>
          <w14:textFill>
            <w14:solidFill>
              <w14:schemeClr w14:val="tx1"/>
            </w14:solidFill>
          </w14:textFill>
        </w:rPr>
        <w:t>万平方米。该区域已建成火灾自动报警及消防联动控制系统、室内外消火栓给水系统，并设立集中消防控制室1处。</w:t>
      </w:r>
    </w:p>
    <w:p w14:paraId="116074DF">
      <w:pPr>
        <w:widowControl w:val="0"/>
        <w:spacing w:after="0" w:line="360" w:lineRule="auto"/>
        <w:ind w:firstLine="440" w:firstLineChars="200"/>
        <w:jc w:val="both"/>
        <w:rPr>
          <w:rFonts w:hint="eastAsia" w:ascii="宋体" w:hAnsi="宋体" w:eastAsia="宋体" w:cs="Times New Roman"/>
          <w:b w:val="0"/>
          <w:bCs w:val="0"/>
          <w:color w:val="000000" w:themeColor="text1"/>
          <w:kern w:val="2"/>
          <w:sz w:val="22"/>
          <w:szCs w:val="22"/>
          <w:highlight w:val="none"/>
          <w:lang w:eastAsia="zh-CN"/>
          <w14:textFill>
            <w14:solidFill>
              <w14:schemeClr w14:val="tx1"/>
            </w14:solidFill>
          </w14:textFill>
        </w:rPr>
      </w:pPr>
      <w:r>
        <w:rPr>
          <w:rFonts w:hint="eastAsia" w:ascii="宋体" w:hAnsi="宋体" w:eastAsia="宋体" w:cs="Times New Roman"/>
          <w:b w:val="0"/>
          <w:bCs w:val="0"/>
          <w:color w:val="000000" w:themeColor="text1"/>
          <w:kern w:val="2"/>
          <w:sz w:val="22"/>
          <w:szCs w:val="22"/>
          <w:highlight w:val="none"/>
          <w:lang w:val="en-US" w:eastAsia="zh-CN"/>
          <w14:textFill>
            <w14:solidFill>
              <w14:schemeClr w14:val="tx1"/>
            </w14:solidFill>
          </w14:textFill>
        </w:rPr>
        <w:t>2.</w:t>
      </w:r>
      <w:r>
        <w:rPr>
          <w:rFonts w:hint="eastAsia" w:ascii="宋体" w:hAnsi="宋体" w:eastAsia="宋体" w:cs="Times New Roman"/>
          <w:b w:val="0"/>
          <w:bCs w:val="0"/>
          <w:color w:val="000000" w:themeColor="text1"/>
          <w:kern w:val="2"/>
          <w:sz w:val="22"/>
          <w:szCs w:val="22"/>
          <w:highlight w:val="none"/>
          <w:lang w:eastAsia="zh-CN"/>
          <w14:textFill>
            <w14:solidFill>
              <w14:schemeClr w14:val="tx1"/>
            </w14:solidFill>
          </w14:textFill>
        </w:rPr>
        <w:t>绿谷眼产业基地（科研区）：包括实验楼、研发中心等7栋建筑。配置火灾自动报警及消防联动控制系统、室内外消火栓给水系统。</w:t>
      </w:r>
    </w:p>
    <w:p w14:paraId="126CFDA8">
      <w:pPr>
        <w:widowControl w:val="0"/>
        <w:spacing w:after="0" w:line="360" w:lineRule="auto"/>
        <w:ind w:firstLine="440" w:firstLineChars="200"/>
        <w:jc w:val="both"/>
        <w:rPr>
          <w:rFonts w:hint="eastAsia" w:ascii="宋体" w:hAnsi="宋体" w:eastAsia="宋体" w:cs="Times New Roman"/>
          <w:b w:val="0"/>
          <w:bCs w:val="0"/>
          <w:color w:val="000000" w:themeColor="text1"/>
          <w:kern w:val="2"/>
          <w:sz w:val="22"/>
          <w:szCs w:val="22"/>
          <w:highlight w:val="none"/>
          <w:lang w:eastAsia="zh-CN"/>
          <w14:textFill>
            <w14:solidFill>
              <w14:schemeClr w14:val="tx1"/>
            </w14:solidFill>
          </w14:textFill>
        </w:rPr>
      </w:pPr>
      <w:r>
        <w:rPr>
          <w:rFonts w:hint="eastAsia" w:ascii="宋体" w:hAnsi="宋体" w:eastAsia="宋体" w:cs="Times New Roman"/>
          <w:b w:val="0"/>
          <w:bCs w:val="0"/>
          <w:color w:val="000000" w:themeColor="text1"/>
          <w:kern w:val="2"/>
          <w:sz w:val="22"/>
          <w:szCs w:val="22"/>
          <w:highlight w:val="none"/>
          <w:lang w:eastAsia="zh-CN"/>
          <w14:textFill>
            <w14:solidFill>
              <w14:schemeClr w14:val="tx1"/>
            </w14:solidFill>
          </w14:textFill>
        </w:rPr>
        <w:t>(二) 南校区</w:t>
      </w:r>
    </w:p>
    <w:p w14:paraId="382F164C">
      <w:pPr>
        <w:widowControl w:val="0"/>
        <w:spacing w:after="0" w:line="360" w:lineRule="auto"/>
        <w:ind w:firstLine="440" w:firstLineChars="200"/>
        <w:jc w:val="both"/>
        <w:rPr>
          <w:rFonts w:hint="eastAsia" w:ascii="宋体" w:hAnsi="宋体" w:eastAsia="宋体" w:cs="Times New Roman"/>
          <w:b w:val="0"/>
          <w:bCs w:val="0"/>
          <w:color w:val="000000" w:themeColor="text1"/>
          <w:kern w:val="2"/>
          <w:sz w:val="22"/>
          <w:szCs w:val="22"/>
          <w:highlight w:val="none"/>
          <w:lang w:eastAsia="zh-CN"/>
          <w14:textFill>
            <w14:solidFill>
              <w14:schemeClr w14:val="tx1"/>
            </w14:solidFill>
          </w14:textFill>
        </w:rPr>
      </w:pPr>
      <w:r>
        <w:rPr>
          <w:rFonts w:hint="eastAsia" w:ascii="宋体" w:hAnsi="宋体" w:eastAsia="宋体" w:cs="Times New Roman"/>
          <w:b w:val="0"/>
          <w:bCs w:val="0"/>
          <w:color w:val="000000" w:themeColor="text1"/>
          <w:kern w:val="2"/>
          <w:sz w:val="22"/>
          <w:szCs w:val="22"/>
          <w:highlight w:val="none"/>
          <w:lang w:val="en-US" w:eastAsia="zh-CN"/>
          <w14:textFill>
            <w14:solidFill>
              <w14:schemeClr w14:val="tx1"/>
            </w14:solidFill>
          </w14:textFill>
        </w:rPr>
        <w:t>1.</w:t>
      </w:r>
      <w:r>
        <w:rPr>
          <w:rFonts w:hint="eastAsia" w:ascii="宋体" w:hAnsi="宋体" w:eastAsia="宋体" w:cs="Times New Roman"/>
          <w:b w:val="0"/>
          <w:bCs w:val="0"/>
          <w:color w:val="000000" w:themeColor="text1"/>
          <w:kern w:val="2"/>
          <w:sz w:val="22"/>
          <w:szCs w:val="22"/>
          <w:highlight w:val="none"/>
          <w:lang w:eastAsia="zh-CN"/>
          <w14:textFill>
            <w14:solidFill>
              <w14:schemeClr w14:val="tx1"/>
            </w14:solidFill>
          </w14:textFill>
        </w:rPr>
        <w:t>包括模拟医院大楼（建筑面积13,700平方米）与眼基因库大楼（建筑面积5,465.16平方米），共计2栋建筑。</w:t>
      </w:r>
    </w:p>
    <w:p w14:paraId="192E974A">
      <w:pPr>
        <w:widowControl w:val="0"/>
        <w:spacing w:after="0" w:line="360" w:lineRule="auto"/>
        <w:ind w:firstLine="440" w:firstLineChars="200"/>
        <w:jc w:val="both"/>
        <w:rPr>
          <w:rFonts w:hint="eastAsia" w:ascii="宋体" w:hAnsi="宋体" w:eastAsia="宋体" w:cs="Times New Roman"/>
          <w:b w:val="0"/>
          <w:bCs w:val="0"/>
          <w:color w:val="000000" w:themeColor="text1"/>
          <w:kern w:val="2"/>
          <w:sz w:val="22"/>
          <w:szCs w:val="22"/>
          <w:highlight w:val="none"/>
          <w:lang w:eastAsia="zh-CN"/>
          <w14:textFill>
            <w14:solidFill>
              <w14:schemeClr w14:val="tx1"/>
            </w14:solidFill>
          </w14:textFill>
        </w:rPr>
      </w:pPr>
      <w:r>
        <w:rPr>
          <w:rFonts w:hint="eastAsia" w:ascii="宋体" w:hAnsi="宋体" w:eastAsia="宋体" w:cs="Times New Roman"/>
          <w:b w:val="0"/>
          <w:bCs w:val="0"/>
          <w:color w:val="000000" w:themeColor="text1"/>
          <w:kern w:val="2"/>
          <w:sz w:val="22"/>
          <w:szCs w:val="22"/>
          <w:highlight w:val="none"/>
          <w:lang w:val="en-US" w:eastAsia="zh-CN"/>
          <w14:textFill>
            <w14:solidFill>
              <w14:schemeClr w14:val="tx1"/>
            </w14:solidFill>
          </w14:textFill>
        </w:rPr>
        <w:t>2.</w:t>
      </w:r>
      <w:r>
        <w:rPr>
          <w:rFonts w:hint="eastAsia" w:ascii="宋体" w:hAnsi="宋体" w:eastAsia="宋体" w:cs="Times New Roman"/>
          <w:b w:val="0"/>
          <w:bCs w:val="0"/>
          <w:color w:val="000000" w:themeColor="text1"/>
          <w:kern w:val="2"/>
          <w:sz w:val="22"/>
          <w:szCs w:val="22"/>
          <w:highlight w:val="none"/>
          <w:lang w:eastAsia="zh-CN"/>
          <w14:textFill>
            <w14:solidFill>
              <w14:schemeClr w14:val="tx1"/>
            </w14:solidFill>
          </w14:textFill>
        </w:rPr>
        <w:t>配置有火灾自动报警及消防联动控制系统、湿式自动喷水灭火系统、室内外消火栓给水系统，并分设消防控制室2处。</w:t>
      </w:r>
    </w:p>
    <w:p w14:paraId="085F28EB">
      <w:pPr>
        <w:widowControl w:val="0"/>
        <w:spacing w:after="0" w:line="360" w:lineRule="auto"/>
        <w:ind w:firstLine="440" w:firstLineChars="200"/>
        <w:jc w:val="both"/>
        <w:rPr>
          <w:rFonts w:hint="eastAsia" w:ascii="宋体" w:hAnsi="宋体" w:eastAsia="宋体" w:cs="Times New Roman"/>
          <w:b w:val="0"/>
          <w:bCs w:val="0"/>
          <w:color w:val="000000" w:themeColor="text1"/>
          <w:kern w:val="2"/>
          <w:sz w:val="22"/>
          <w:szCs w:val="22"/>
          <w:highlight w:val="none"/>
          <w:lang w:eastAsia="zh-CN"/>
          <w14:textFill>
            <w14:solidFill>
              <w14:schemeClr w14:val="tx1"/>
            </w14:solidFill>
          </w14:textFill>
        </w:rPr>
      </w:pPr>
      <w:r>
        <w:rPr>
          <w:rFonts w:hint="eastAsia" w:ascii="宋体" w:hAnsi="宋体" w:eastAsia="宋体" w:cs="Times New Roman"/>
          <w:b w:val="0"/>
          <w:bCs w:val="0"/>
          <w:color w:val="000000" w:themeColor="text1"/>
          <w:kern w:val="2"/>
          <w:sz w:val="22"/>
          <w:szCs w:val="22"/>
          <w:highlight w:val="none"/>
          <w:lang w:eastAsia="zh-CN"/>
          <w14:textFill>
            <w14:solidFill>
              <w14:schemeClr w14:val="tx1"/>
            </w14:solidFill>
          </w14:textFill>
        </w:rPr>
        <w:t>(三) 北校区</w:t>
      </w:r>
    </w:p>
    <w:p w14:paraId="20A4B022">
      <w:pPr>
        <w:widowControl w:val="0"/>
        <w:spacing w:after="0" w:line="360" w:lineRule="auto"/>
        <w:ind w:firstLine="440" w:firstLineChars="200"/>
        <w:jc w:val="both"/>
        <w:rPr>
          <w:rFonts w:hint="eastAsia" w:ascii="宋体" w:hAnsi="宋体" w:eastAsia="宋体" w:cs="Times New Roman"/>
          <w:b w:val="0"/>
          <w:bCs w:val="0"/>
          <w:color w:val="000000" w:themeColor="text1"/>
          <w:kern w:val="2"/>
          <w:sz w:val="22"/>
          <w:szCs w:val="22"/>
          <w:highlight w:val="none"/>
          <w:lang w:eastAsia="zh-CN"/>
          <w14:textFill>
            <w14:solidFill>
              <w14:schemeClr w14:val="tx1"/>
            </w14:solidFill>
          </w14:textFill>
        </w:rPr>
      </w:pPr>
      <w:r>
        <w:rPr>
          <w:rFonts w:hint="eastAsia" w:ascii="宋体" w:hAnsi="宋体" w:eastAsia="宋体" w:cs="Times New Roman"/>
          <w:b w:val="0"/>
          <w:bCs w:val="0"/>
          <w:color w:val="000000" w:themeColor="text1"/>
          <w:kern w:val="2"/>
          <w:sz w:val="22"/>
          <w:szCs w:val="22"/>
          <w:highlight w:val="none"/>
          <w:lang w:val="en-US" w:eastAsia="zh-CN"/>
          <w14:textFill>
            <w14:solidFill>
              <w14:schemeClr w14:val="tx1"/>
            </w14:solidFill>
          </w14:textFill>
        </w:rPr>
        <w:t>1.</w:t>
      </w:r>
      <w:r>
        <w:rPr>
          <w:rFonts w:hint="eastAsia" w:ascii="宋体" w:hAnsi="宋体" w:eastAsia="宋体" w:cs="Times New Roman"/>
          <w:b w:val="0"/>
          <w:bCs w:val="0"/>
          <w:color w:val="000000" w:themeColor="text1"/>
          <w:kern w:val="2"/>
          <w:sz w:val="22"/>
          <w:szCs w:val="22"/>
          <w:highlight w:val="none"/>
          <w:lang w:eastAsia="zh-CN"/>
          <w14:textFill>
            <w14:solidFill>
              <w14:schemeClr w14:val="tx1"/>
            </w14:solidFill>
          </w14:textFill>
        </w:rPr>
        <w:t>包括宿舍I楼、宿舍U楼、综合楼X楼，共计3栋建筑，总建筑面积约8.1万平方米。</w:t>
      </w:r>
    </w:p>
    <w:p w14:paraId="2DF7ECCA">
      <w:pPr>
        <w:widowControl w:val="0"/>
        <w:spacing w:after="0" w:line="360" w:lineRule="auto"/>
        <w:ind w:firstLine="440" w:firstLineChars="200"/>
        <w:jc w:val="both"/>
        <w:rPr>
          <w:rFonts w:hint="eastAsia" w:ascii="宋体" w:hAnsi="宋体" w:eastAsia="宋体" w:cs="Times New Roman"/>
          <w:b w:val="0"/>
          <w:bCs w:val="0"/>
          <w:color w:val="000000" w:themeColor="text1"/>
          <w:kern w:val="2"/>
          <w:sz w:val="22"/>
          <w:szCs w:val="22"/>
          <w:highlight w:val="none"/>
          <w:lang w:eastAsia="zh-CN"/>
          <w14:textFill>
            <w14:solidFill>
              <w14:schemeClr w14:val="tx1"/>
            </w14:solidFill>
          </w14:textFill>
        </w:rPr>
      </w:pPr>
      <w:r>
        <w:rPr>
          <w:rFonts w:hint="eastAsia" w:ascii="宋体" w:hAnsi="宋体" w:eastAsia="宋体" w:cs="Times New Roman"/>
          <w:b w:val="0"/>
          <w:bCs w:val="0"/>
          <w:color w:val="000000" w:themeColor="text1"/>
          <w:kern w:val="2"/>
          <w:sz w:val="22"/>
          <w:szCs w:val="22"/>
          <w:highlight w:val="none"/>
          <w:lang w:val="en-US" w:eastAsia="zh-CN"/>
          <w14:textFill>
            <w14:solidFill>
              <w14:schemeClr w14:val="tx1"/>
            </w14:solidFill>
          </w14:textFill>
        </w:rPr>
        <w:t>2.</w:t>
      </w:r>
      <w:r>
        <w:rPr>
          <w:rFonts w:hint="eastAsia" w:ascii="宋体" w:hAnsi="宋体" w:eastAsia="宋体" w:cs="Times New Roman"/>
          <w:b w:val="0"/>
          <w:bCs w:val="0"/>
          <w:color w:val="000000" w:themeColor="text1"/>
          <w:kern w:val="2"/>
          <w:sz w:val="22"/>
          <w:szCs w:val="22"/>
          <w:highlight w:val="none"/>
          <w:lang w:eastAsia="zh-CN"/>
          <w14:textFill>
            <w14:solidFill>
              <w14:schemeClr w14:val="tx1"/>
            </w14:solidFill>
          </w14:textFill>
        </w:rPr>
        <w:t>配置有火灾自动报警及消防联动控制系统、湿式自动喷水灭火系统、室内外消火栓给水系统，并设立消防控制室1处。</w:t>
      </w:r>
    </w:p>
    <w:p w14:paraId="2816A148">
      <w:pPr>
        <w:widowControl w:val="0"/>
        <w:spacing w:after="0" w:line="360" w:lineRule="auto"/>
        <w:ind w:firstLine="440" w:firstLineChars="200"/>
        <w:jc w:val="both"/>
        <w:rPr>
          <w:rFonts w:hint="eastAsia" w:ascii="宋体" w:hAnsi="宋体" w:eastAsia="宋体" w:cs="Times New Roman"/>
          <w:b w:val="0"/>
          <w:bCs w:val="0"/>
          <w:color w:val="000000" w:themeColor="text1"/>
          <w:kern w:val="2"/>
          <w:sz w:val="22"/>
          <w:szCs w:val="22"/>
          <w:highlight w:val="none"/>
          <w:lang w:eastAsia="zh-CN"/>
          <w14:textFill>
            <w14:solidFill>
              <w14:schemeClr w14:val="tx1"/>
            </w14:solidFill>
          </w14:textFill>
        </w:rPr>
      </w:pPr>
      <w:r>
        <w:rPr>
          <w:rFonts w:hint="eastAsia" w:ascii="宋体" w:hAnsi="宋体" w:eastAsia="宋体" w:cs="Times New Roman"/>
          <w:b w:val="0"/>
          <w:bCs w:val="0"/>
          <w:color w:val="000000" w:themeColor="text1"/>
          <w:kern w:val="2"/>
          <w:sz w:val="22"/>
          <w:szCs w:val="22"/>
          <w:highlight w:val="none"/>
          <w:lang w:eastAsia="zh-CN"/>
          <w14:textFill>
            <w14:solidFill>
              <w14:schemeClr w14:val="tx1"/>
            </w14:solidFill>
          </w14:textFill>
        </w:rPr>
        <w:t>三、 具体工作要求</w:t>
      </w:r>
    </w:p>
    <w:p w14:paraId="26B27D7C">
      <w:pPr>
        <w:widowControl w:val="0"/>
        <w:spacing w:after="0" w:line="360" w:lineRule="auto"/>
        <w:ind w:firstLine="440" w:firstLineChars="200"/>
        <w:jc w:val="both"/>
        <w:rPr>
          <w:rFonts w:hint="eastAsia" w:ascii="宋体" w:hAnsi="宋体" w:eastAsia="宋体" w:cs="Times New Roman"/>
          <w:b w:val="0"/>
          <w:bCs w:val="0"/>
          <w:color w:val="000000" w:themeColor="text1"/>
          <w:kern w:val="2"/>
          <w:sz w:val="22"/>
          <w:szCs w:val="22"/>
          <w:highlight w:val="none"/>
          <w:lang w:eastAsia="zh-CN"/>
          <w14:textFill>
            <w14:solidFill>
              <w14:schemeClr w14:val="tx1"/>
            </w14:solidFill>
          </w14:textFill>
        </w:rPr>
      </w:pPr>
      <w:r>
        <w:rPr>
          <w:rFonts w:hint="eastAsia" w:ascii="宋体" w:hAnsi="宋体" w:eastAsia="宋体" w:cs="Times New Roman"/>
          <w:b w:val="0"/>
          <w:bCs w:val="0"/>
          <w:color w:val="000000" w:themeColor="text1"/>
          <w:kern w:val="2"/>
          <w:sz w:val="22"/>
          <w:szCs w:val="22"/>
          <w:highlight w:val="none"/>
          <w:lang w:eastAsia="zh-CN"/>
          <w14:textFill>
            <w14:solidFill>
              <w14:schemeClr w14:val="tx1"/>
            </w14:solidFill>
          </w14:textFill>
        </w:rPr>
        <w:t>(一) 系统初始化建档与深度熟悉</w:t>
      </w:r>
    </w:p>
    <w:p w14:paraId="72D4BDDA">
      <w:pPr>
        <w:widowControl w:val="0"/>
        <w:spacing w:after="0" w:line="360" w:lineRule="auto"/>
        <w:ind w:firstLine="440" w:firstLineChars="200"/>
        <w:jc w:val="both"/>
        <w:rPr>
          <w:rFonts w:hint="eastAsia" w:ascii="宋体" w:hAnsi="宋体" w:eastAsia="宋体" w:cs="Times New Roman"/>
          <w:b w:val="0"/>
          <w:bCs w:val="0"/>
          <w:color w:val="000000" w:themeColor="text1"/>
          <w:kern w:val="2"/>
          <w:sz w:val="22"/>
          <w:szCs w:val="22"/>
          <w:highlight w:val="none"/>
          <w:lang w:eastAsia="zh-CN"/>
          <w14:textFill>
            <w14:solidFill>
              <w14:schemeClr w14:val="tx1"/>
            </w14:solidFill>
          </w14:textFill>
        </w:rPr>
      </w:pPr>
      <w:r>
        <w:rPr>
          <w:rFonts w:hint="eastAsia" w:ascii="宋体" w:hAnsi="宋体" w:eastAsia="宋体" w:cs="Times New Roman"/>
          <w:b w:val="0"/>
          <w:bCs w:val="0"/>
          <w:color w:val="000000" w:themeColor="text1"/>
          <w:kern w:val="2"/>
          <w:sz w:val="22"/>
          <w:szCs w:val="22"/>
          <w:highlight w:val="none"/>
          <w:lang w:eastAsia="zh-CN"/>
          <w14:textFill>
            <w14:solidFill>
              <w14:schemeClr w14:val="tx1"/>
            </w14:solidFill>
          </w14:textFill>
        </w:rPr>
        <w:t>合同生效后10个工作日内，乙方须派出高级技术人员团队，对全校消防系统进行首次全面、细致的检测与测试，完成以下工作：</w:t>
      </w:r>
    </w:p>
    <w:p w14:paraId="7567AC22">
      <w:pPr>
        <w:widowControl w:val="0"/>
        <w:spacing w:after="0" w:line="360" w:lineRule="auto"/>
        <w:ind w:firstLine="440" w:firstLineChars="200"/>
        <w:jc w:val="both"/>
        <w:rPr>
          <w:rFonts w:hint="eastAsia" w:ascii="宋体" w:hAnsi="宋体" w:eastAsia="宋体" w:cs="Times New Roman"/>
          <w:b w:val="0"/>
          <w:bCs w:val="0"/>
          <w:color w:val="000000" w:themeColor="text1"/>
          <w:kern w:val="2"/>
          <w:sz w:val="22"/>
          <w:szCs w:val="22"/>
          <w:highlight w:val="none"/>
          <w:lang w:eastAsia="zh-CN"/>
          <w14:textFill>
            <w14:solidFill>
              <w14:schemeClr w14:val="tx1"/>
            </w14:solidFill>
          </w14:textFill>
        </w:rPr>
      </w:pPr>
      <w:r>
        <w:rPr>
          <w:rFonts w:hint="eastAsia" w:ascii="宋体" w:hAnsi="宋体" w:eastAsia="宋体" w:cs="Times New Roman"/>
          <w:b w:val="0"/>
          <w:bCs w:val="0"/>
          <w:color w:val="000000" w:themeColor="text1"/>
          <w:kern w:val="2"/>
          <w:sz w:val="22"/>
          <w:szCs w:val="22"/>
          <w:highlight w:val="none"/>
          <w:lang w:eastAsia="zh-CN"/>
          <w14:textFill>
            <w14:solidFill>
              <w14:schemeClr w14:val="tx1"/>
            </w14:solidFill>
          </w14:textFill>
        </w:rPr>
        <w:t>1</w:t>
      </w:r>
      <w:r>
        <w:rPr>
          <w:rFonts w:hint="eastAsia" w:ascii="宋体" w:hAnsi="宋体" w:eastAsia="宋体" w:cs="Times New Roman"/>
          <w:b w:val="0"/>
          <w:bCs w:val="0"/>
          <w:color w:val="000000" w:themeColor="text1"/>
          <w:kern w:val="2"/>
          <w:sz w:val="22"/>
          <w:szCs w:val="22"/>
          <w:highlight w:val="none"/>
          <w:lang w:val="en-US" w:eastAsia="zh-CN"/>
          <w14:textFill>
            <w14:solidFill>
              <w14:schemeClr w14:val="tx1"/>
            </w14:solidFill>
          </w14:textFill>
        </w:rPr>
        <w:t>.</w:t>
      </w:r>
      <w:r>
        <w:rPr>
          <w:rFonts w:hint="eastAsia" w:ascii="宋体" w:hAnsi="宋体" w:eastAsia="宋体" w:cs="Times New Roman"/>
          <w:b w:val="0"/>
          <w:bCs w:val="0"/>
          <w:color w:val="000000" w:themeColor="text1"/>
          <w:kern w:val="2"/>
          <w:sz w:val="22"/>
          <w:szCs w:val="22"/>
          <w:highlight w:val="none"/>
          <w:lang w:eastAsia="zh-CN"/>
          <w14:textFill>
            <w14:solidFill>
              <w14:schemeClr w14:val="tx1"/>
            </w14:solidFill>
          </w14:textFill>
        </w:rPr>
        <w:t>制定专属维保方案：基于全面检测数据，为我校各系统、各建筑“量身定制”详细的年度、月度维护保养计划与操作规程。</w:t>
      </w:r>
    </w:p>
    <w:p w14:paraId="4B88051E">
      <w:pPr>
        <w:widowControl w:val="0"/>
        <w:spacing w:after="0" w:line="360" w:lineRule="auto"/>
        <w:ind w:firstLine="440" w:firstLineChars="200"/>
        <w:jc w:val="both"/>
        <w:rPr>
          <w:rFonts w:hint="eastAsia" w:ascii="宋体" w:hAnsi="宋体" w:eastAsia="宋体" w:cs="Times New Roman"/>
          <w:b w:val="0"/>
          <w:bCs w:val="0"/>
          <w:color w:val="000000" w:themeColor="text1"/>
          <w:kern w:val="2"/>
          <w:sz w:val="22"/>
          <w:szCs w:val="22"/>
          <w:highlight w:val="none"/>
          <w:lang w:eastAsia="zh-CN"/>
          <w14:textFill>
            <w14:solidFill>
              <w14:schemeClr w14:val="tx1"/>
            </w14:solidFill>
          </w14:textFill>
        </w:rPr>
      </w:pPr>
      <w:r>
        <w:rPr>
          <w:rFonts w:hint="eastAsia" w:ascii="宋体" w:hAnsi="宋体" w:eastAsia="宋体" w:cs="Times New Roman"/>
          <w:b w:val="0"/>
          <w:bCs w:val="0"/>
          <w:color w:val="000000" w:themeColor="text1"/>
          <w:kern w:val="2"/>
          <w:sz w:val="22"/>
          <w:szCs w:val="22"/>
          <w:highlight w:val="none"/>
          <w:lang w:eastAsia="zh-CN"/>
          <w14:textFill>
            <w14:solidFill>
              <w14:schemeClr w14:val="tx1"/>
            </w14:solidFill>
          </w14:textFill>
        </w:rPr>
        <w:t>2</w:t>
      </w:r>
      <w:r>
        <w:rPr>
          <w:rFonts w:hint="eastAsia" w:ascii="宋体" w:hAnsi="宋体" w:eastAsia="宋体" w:cs="Times New Roman"/>
          <w:b w:val="0"/>
          <w:bCs w:val="0"/>
          <w:color w:val="000000" w:themeColor="text1"/>
          <w:kern w:val="2"/>
          <w:sz w:val="22"/>
          <w:szCs w:val="22"/>
          <w:highlight w:val="none"/>
          <w:lang w:val="en-US" w:eastAsia="zh-CN"/>
          <w14:textFill>
            <w14:solidFill>
              <w14:schemeClr w14:val="tx1"/>
            </w14:solidFill>
          </w14:textFill>
        </w:rPr>
        <w:t>.</w:t>
      </w:r>
      <w:r>
        <w:rPr>
          <w:rFonts w:hint="eastAsia" w:ascii="宋体" w:hAnsi="宋体" w:eastAsia="宋体" w:cs="Times New Roman"/>
          <w:b w:val="0"/>
          <w:bCs w:val="0"/>
          <w:color w:val="000000" w:themeColor="text1"/>
          <w:kern w:val="2"/>
          <w:sz w:val="22"/>
          <w:szCs w:val="22"/>
          <w:highlight w:val="none"/>
          <w:lang w:eastAsia="zh-CN"/>
          <w14:textFill>
            <w14:solidFill>
              <w14:schemeClr w14:val="tx1"/>
            </w14:solidFill>
          </w14:textFill>
        </w:rPr>
        <w:t>建立完整技术档案：协助我校完善并数字化所有消防设施的“一机一档”，包括但不限于：系统竣工图、设备分布图、产品说明书、合格证、历史维修记录等，形成可随时调阅的电子化档案库。</w:t>
      </w:r>
    </w:p>
    <w:p w14:paraId="0932E838">
      <w:pPr>
        <w:widowControl w:val="0"/>
        <w:spacing w:after="0" w:line="360" w:lineRule="auto"/>
        <w:ind w:firstLine="440" w:firstLineChars="200"/>
        <w:jc w:val="both"/>
        <w:rPr>
          <w:rFonts w:hint="eastAsia" w:ascii="宋体" w:hAnsi="宋体" w:eastAsia="宋体" w:cs="Times New Roman"/>
          <w:b w:val="0"/>
          <w:bCs w:val="0"/>
          <w:color w:val="000000" w:themeColor="text1"/>
          <w:kern w:val="2"/>
          <w:sz w:val="22"/>
          <w:szCs w:val="22"/>
          <w:highlight w:val="none"/>
          <w:lang w:eastAsia="zh-CN"/>
          <w14:textFill>
            <w14:solidFill>
              <w14:schemeClr w14:val="tx1"/>
            </w14:solidFill>
          </w14:textFill>
        </w:rPr>
      </w:pPr>
      <w:r>
        <w:rPr>
          <w:rFonts w:hint="eastAsia" w:ascii="宋体" w:hAnsi="宋体" w:eastAsia="宋体" w:cs="Times New Roman"/>
          <w:b w:val="0"/>
          <w:bCs w:val="0"/>
          <w:color w:val="000000" w:themeColor="text1"/>
          <w:kern w:val="2"/>
          <w:sz w:val="22"/>
          <w:szCs w:val="22"/>
          <w:highlight w:val="none"/>
          <w:lang w:eastAsia="zh-CN"/>
          <w14:textFill>
            <w14:solidFill>
              <w14:schemeClr w14:val="tx1"/>
            </w14:solidFill>
          </w14:textFill>
        </w:rPr>
        <w:t>3.协助优化应急预案：结合我校建筑结构、功能布局和人员密度，协助修订或编制更具针对性和可操作性的《火灾应急疏散预案》及《初期火灾应急处置程序》。</w:t>
      </w:r>
    </w:p>
    <w:p w14:paraId="5888C4C0">
      <w:pPr>
        <w:widowControl w:val="0"/>
        <w:spacing w:after="0" w:line="360" w:lineRule="auto"/>
        <w:ind w:firstLine="440" w:firstLineChars="200"/>
        <w:jc w:val="both"/>
        <w:rPr>
          <w:rFonts w:hint="eastAsia" w:ascii="宋体" w:hAnsi="宋体" w:eastAsia="宋体" w:cs="Times New Roman"/>
          <w:b w:val="0"/>
          <w:bCs w:val="0"/>
          <w:color w:val="000000" w:themeColor="text1"/>
          <w:kern w:val="2"/>
          <w:sz w:val="22"/>
          <w:szCs w:val="22"/>
          <w:highlight w:val="none"/>
          <w:lang w:eastAsia="zh-CN"/>
          <w14:textFill>
            <w14:solidFill>
              <w14:schemeClr w14:val="tx1"/>
            </w14:solidFill>
          </w14:textFill>
        </w:rPr>
      </w:pPr>
      <w:r>
        <w:rPr>
          <w:rFonts w:hint="eastAsia" w:ascii="宋体" w:hAnsi="宋体" w:eastAsia="宋体" w:cs="Times New Roman"/>
          <w:b w:val="0"/>
          <w:bCs w:val="0"/>
          <w:color w:val="000000" w:themeColor="text1"/>
          <w:kern w:val="2"/>
          <w:sz w:val="22"/>
          <w:szCs w:val="22"/>
          <w:highlight w:val="none"/>
          <w:lang w:eastAsia="zh-CN"/>
          <w14:textFill>
            <w14:solidFill>
              <w14:schemeClr w14:val="tx1"/>
            </w14:solidFill>
          </w14:textFill>
        </w:rPr>
        <w:t>(二) 设施系统化维护保养内容</w:t>
      </w:r>
    </w:p>
    <w:tbl>
      <w:tblPr>
        <w:tblStyle w:val="35"/>
        <w:tblW w:w="107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34"/>
        <w:gridCol w:w="7452"/>
      </w:tblGrid>
      <w:tr w14:paraId="4A74B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334" w:type="dxa"/>
            <w:vAlign w:val="center"/>
          </w:tcPr>
          <w:p w14:paraId="45FDC52C">
            <w:pPr>
              <w:widowControl w:val="0"/>
              <w:spacing w:after="0" w:line="240" w:lineRule="auto"/>
              <w:ind w:firstLine="440" w:firstLineChars="200"/>
              <w:jc w:val="center"/>
              <w:rPr>
                <w:rFonts w:hint="eastAsia" w:ascii="宋体" w:hAnsi="宋体" w:eastAsia="宋体" w:cs="Times New Roman"/>
                <w:b w:val="0"/>
                <w:bCs w:val="0"/>
                <w:color w:val="000000" w:themeColor="text1"/>
                <w:kern w:val="2"/>
                <w:sz w:val="22"/>
                <w:szCs w:val="22"/>
                <w:highlight w:val="none"/>
                <w:lang w:eastAsia="zh-CN"/>
                <w14:textFill>
                  <w14:solidFill>
                    <w14:schemeClr w14:val="tx1"/>
                  </w14:solidFill>
                </w14:textFill>
              </w:rPr>
            </w:pPr>
            <w:r>
              <w:rPr>
                <w:rFonts w:hint="eastAsia" w:ascii="宋体" w:hAnsi="宋体" w:eastAsia="宋体" w:cs="Times New Roman"/>
                <w:b w:val="0"/>
                <w:bCs w:val="0"/>
                <w:color w:val="000000" w:themeColor="text1"/>
                <w:kern w:val="2"/>
                <w:sz w:val="22"/>
                <w:szCs w:val="22"/>
                <w:highlight w:val="none"/>
                <w:lang w:eastAsia="zh-CN"/>
                <w14:textFill>
                  <w14:solidFill>
                    <w14:schemeClr w14:val="tx1"/>
                  </w14:solidFill>
                </w14:textFill>
              </w:rPr>
              <w:t>系统/设备类别</w:t>
            </w:r>
          </w:p>
        </w:tc>
        <w:tc>
          <w:tcPr>
            <w:tcW w:w="7452" w:type="dxa"/>
            <w:vAlign w:val="center"/>
          </w:tcPr>
          <w:p w14:paraId="43EF5006">
            <w:pPr>
              <w:widowControl w:val="0"/>
              <w:spacing w:after="0" w:line="240" w:lineRule="auto"/>
              <w:ind w:firstLine="440" w:firstLineChars="200"/>
              <w:jc w:val="center"/>
              <w:rPr>
                <w:rFonts w:hint="eastAsia" w:ascii="宋体" w:hAnsi="宋体" w:eastAsia="宋体" w:cs="Times New Roman"/>
                <w:b w:val="0"/>
                <w:bCs w:val="0"/>
                <w:color w:val="000000" w:themeColor="text1"/>
                <w:kern w:val="2"/>
                <w:sz w:val="22"/>
                <w:szCs w:val="22"/>
                <w:highlight w:val="none"/>
                <w:lang w:eastAsia="zh-CN"/>
                <w14:textFill>
                  <w14:solidFill>
                    <w14:schemeClr w14:val="tx1"/>
                  </w14:solidFill>
                </w14:textFill>
              </w:rPr>
            </w:pPr>
            <w:r>
              <w:rPr>
                <w:rFonts w:hint="eastAsia" w:ascii="宋体" w:hAnsi="宋体" w:eastAsia="宋体" w:cs="Times New Roman"/>
                <w:b w:val="0"/>
                <w:bCs w:val="0"/>
                <w:color w:val="000000" w:themeColor="text1"/>
                <w:kern w:val="2"/>
                <w:sz w:val="22"/>
                <w:szCs w:val="22"/>
                <w:highlight w:val="none"/>
                <w:lang w:eastAsia="zh-CN"/>
                <w14:textFill>
                  <w14:solidFill>
                    <w14:schemeClr w14:val="tx1"/>
                  </w14:solidFill>
                </w14:textFill>
              </w:rPr>
              <w:t>主要维护保养工作内容</w:t>
            </w:r>
          </w:p>
        </w:tc>
      </w:tr>
      <w:tr w14:paraId="67489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3334" w:type="dxa"/>
            <w:vAlign w:val="center"/>
          </w:tcPr>
          <w:p w14:paraId="7D99F317">
            <w:pPr>
              <w:widowControl w:val="0"/>
              <w:spacing w:after="0" w:line="240" w:lineRule="auto"/>
              <w:ind w:firstLine="440" w:firstLineChars="200"/>
              <w:jc w:val="center"/>
              <w:rPr>
                <w:rFonts w:hint="eastAsia" w:ascii="宋体" w:hAnsi="宋体" w:eastAsia="宋体" w:cs="Times New Roman"/>
                <w:b w:val="0"/>
                <w:bCs w:val="0"/>
                <w:color w:val="000000" w:themeColor="text1"/>
                <w:kern w:val="2"/>
                <w:sz w:val="22"/>
                <w:szCs w:val="22"/>
                <w:highlight w:val="none"/>
                <w:lang w:eastAsia="zh-CN"/>
                <w14:textFill>
                  <w14:solidFill>
                    <w14:schemeClr w14:val="tx1"/>
                  </w14:solidFill>
                </w14:textFill>
              </w:rPr>
            </w:pPr>
            <w:r>
              <w:rPr>
                <w:rFonts w:hint="eastAsia" w:ascii="宋体" w:hAnsi="宋体" w:eastAsia="宋体" w:cs="Times New Roman"/>
                <w:b w:val="0"/>
                <w:bCs w:val="0"/>
                <w:color w:val="000000" w:themeColor="text1"/>
                <w:kern w:val="2"/>
                <w:sz w:val="22"/>
                <w:szCs w:val="22"/>
                <w:highlight w:val="none"/>
                <w:lang w:eastAsia="zh-CN"/>
                <w14:textFill>
                  <w14:solidFill>
                    <w14:schemeClr w14:val="tx1"/>
                  </w14:solidFill>
                </w14:textFill>
              </w:rPr>
              <w:t>火灾自动报警系统</w:t>
            </w:r>
          </w:p>
        </w:tc>
        <w:tc>
          <w:tcPr>
            <w:tcW w:w="7452" w:type="dxa"/>
            <w:vAlign w:val="center"/>
          </w:tcPr>
          <w:p w14:paraId="0213C4D4">
            <w:pPr>
              <w:widowControl w:val="0"/>
              <w:spacing w:after="0" w:line="240" w:lineRule="auto"/>
              <w:ind w:firstLine="440" w:firstLineChars="200"/>
              <w:jc w:val="left"/>
              <w:rPr>
                <w:rFonts w:hint="eastAsia" w:ascii="宋体" w:hAnsi="宋体" w:eastAsia="宋体" w:cs="Times New Roman"/>
                <w:b w:val="0"/>
                <w:bCs w:val="0"/>
                <w:color w:val="000000" w:themeColor="text1"/>
                <w:kern w:val="2"/>
                <w:sz w:val="22"/>
                <w:szCs w:val="22"/>
                <w:highlight w:val="none"/>
                <w:lang w:eastAsia="zh-CN"/>
                <w14:textFill>
                  <w14:solidFill>
                    <w14:schemeClr w14:val="tx1"/>
                  </w14:solidFill>
                </w14:textFill>
              </w:rPr>
            </w:pPr>
            <w:r>
              <w:rPr>
                <w:rFonts w:hint="eastAsia" w:ascii="宋体" w:hAnsi="宋体" w:eastAsia="宋体" w:cs="Times New Roman"/>
                <w:b w:val="0"/>
                <w:bCs w:val="0"/>
                <w:color w:val="000000" w:themeColor="text1"/>
                <w:kern w:val="2"/>
                <w:sz w:val="22"/>
                <w:szCs w:val="22"/>
                <w:highlight w:val="none"/>
                <w:lang w:eastAsia="zh-CN"/>
                <w14:textFill>
                  <w14:solidFill>
                    <w14:schemeClr w14:val="tx1"/>
                  </w14:solidFill>
                </w14:textFill>
              </w:rPr>
              <w:t>控制器、探测器、手动报警按钮、警报装置的功能测试；联动控制逻辑测试；报警回路线路检查；接地电阻检测；年度全面清洗与标定。</w:t>
            </w:r>
          </w:p>
        </w:tc>
      </w:tr>
      <w:tr w14:paraId="2FB86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334" w:type="dxa"/>
            <w:vAlign w:val="center"/>
          </w:tcPr>
          <w:p w14:paraId="0D4B085E">
            <w:pPr>
              <w:widowControl w:val="0"/>
              <w:spacing w:after="0" w:line="240" w:lineRule="auto"/>
              <w:ind w:firstLine="440" w:firstLineChars="200"/>
              <w:jc w:val="center"/>
              <w:rPr>
                <w:rFonts w:hint="eastAsia" w:ascii="宋体" w:hAnsi="宋体" w:eastAsia="宋体" w:cs="Times New Roman"/>
                <w:b w:val="0"/>
                <w:bCs w:val="0"/>
                <w:color w:val="000000" w:themeColor="text1"/>
                <w:kern w:val="2"/>
                <w:sz w:val="22"/>
                <w:szCs w:val="22"/>
                <w:highlight w:val="none"/>
                <w:lang w:eastAsia="zh-CN"/>
                <w14:textFill>
                  <w14:solidFill>
                    <w14:schemeClr w14:val="tx1"/>
                  </w14:solidFill>
                </w14:textFill>
              </w:rPr>
            </w:pPr>
            <w:r>
              <w:rPr>
                <w:rFonts w:hint="eastAsia" w:ascii="宋体" w:hAnsi="宋体" w:eastAsia="宋体" w:cs="Times New Roman"/>
                <w:b w:val="0"/>
                <w:bCs w:val="0"/>
                <w:color w:val="000000" w:themeColor="text1"/>
                <w:kern w:val="2"/>
                <w:sz w:val="22"/>
                <w:szCs w:val="22"/>
                <w:highlight w:val="none"/>
                <w:lang w:eastAsia="zh-CN"/>
                <w14:textFill>
                  <w14:solidFill>
                    <w14:schemeClr w14:val="tx1"/>
                  </w14:solidFill>
                </w14:textFill>
              </w:rPr>
              <w:t>自动喷水灭火系统</w:t>
            </w:r>
          </w:p>
        </w:tc>
        <w:tc>
          <w:tcPr>
            <w:tcW w:w="7452" w:type="dxa"/>
            <w:vAlign w:val="center"/>
          </w:tcPr>
          <w:p w14:paraId="05C487D5">
            <w:pPr>
              <w:widowControl w:val="0"/>
              <w:spacing w:after="0" w:line="240" w:lineRule="auto"/>
              <w:ind w:firstLine="440" w:firstLineChars="200"/>
              <w:jc w:val="left"/>
              <w:rPr>
                <w:rFonts w:hint="eastAsia" w:ascii="宋体" w:hAnsi="宋体" w:eastAsia="宋体" w:cs="Times New Roman"/>
                <w:b w:val="0"/>
                <w:bCs w:val="0"/>
                <w:color w:val="000000" w:themeColor="text1"/>
                <w:kern w:val="2"/>
                <w:sz w:val="22"/>
                <w:szCs w:val="22"/>
                <w:highlight w:val="none"/>
                <w:lang w:eastAsia="zh-CN"/>
                <w14:textFill>
                  <w14:solidFill>
                    <w14:schemeClr w14:val="tx1"/>
                  </w14:solidFill>
                </w14:textFill>
              </w:rPr>
            </w:pPr>
            <w:r>
              <w:rPr>
                <w:rFonts w:hint="eastAsia" w:ascii="宋体" w:hAnsi="宋体" w:eastAsia="宋体" w:cs="Times New Roman"/>
                <w:b w:val="0"/>
                <w:bCs w:val="0"/>
                <w:color w:val="000000" w:themeColor="text1"/>
                <w:kern w:val="2"/>
                <w:sz w:val="22"/>
                <w:szCs w:val="22"/>
                <w:highlight w:val="none"/>
                <w:lang w:eastAsia="zh-CN"/>
                <w14:textFill>
                  <w14:solidFill>
                    <w14:schemeClr w14:val="tx1"/>
                  </w14:solidFill>
                </w14:textFill>
              </w:rPr>
              <w:t>喷淋泵、稳压泵启停测试；湿式报警阀、末端试水装置功能测试、</w:t>
            </w:r>
            <w:r>
              <w:rPr>
                <w:rFonts w:hint="eastAsia" w:ascii="宋体" w:hAnsi="宋体" w:eastAsia="宋体" w:cs="Times New Roman"/>
                <w:b w:val="0"/>
                <w:bCs w:val="0"/>
                <w:color w:val="000000" w:themeColor="text1"/>
                <w:kern w:val="2"/>
                <w:sz w:val="22"/>
                <w:szCs w:val="22"/>
                <w:highlight w:val="none"/>
                <w:lang w:val="en-US" w:eastAsia="zh-CN"/>
                <w14:textFill>
                  <w14:solidFill>
                    <w14:schemeClr w14:val="tx1"/>
                  </w14:solidFill>
                </w14:textFill>
              </w:rPr>
              <w:t>喷头的维修更换</w:t>
            </w:r>
            <w:r>
              <w:rPr>
                <w:rFonts w:hint="eastAsia" w:ascii="宋体" w:hAnsi="宋体" w:eastAsia="宋体" w:cs="Times New Roman"/>
                <w:b w:val="0"/>
                <w:bCs w:val="0"/>
                <w:color w:val="000000" w:themeColor="text1"/>
                <w:kern w:val="2"/>
                <w:sz w:val="22"/>
                <w:szCs w:val="22"/>
                <w:highlight w:val="none"/>
                <w:lang w:eastAsia="zh-CN"/>
                <w14:textFill>
                  <w14:solidFill>
                    <w14:schemeClr w14:val="tx1"/>
                  </w14:solidFill>
                </w14:textFill>
              </w:rPr>
              <w:t>；管道压力监测；喷头检查与清洁；系统联动试验。</w:t>
            </w:r>
          </w:p>
        </w:tc>
      </w:tr>
      <w:tr w14:paraId="6BE12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334" w:type="dxa"/>
            <w:vAlign w:val="center"/>
          </w:tcPr>
          <w:p w14:paraId="1CCE664D">
            <w:pPr>
              <w:widowControl w:val="0"/>
              <w:spacing w:after="0" w:line="240" w:lineRule="auto"/>
              <w:ind w:firstLine="440" w:firstLineChars="200"/>
              <w:jc w:val="center"/>
              <w:rPr>
                <w:rFonts w:hint="eastAsia" w:ascii="宋体" w:hAnsi="宋体" w:eastAsia="宋体" w:cs="Times New Roman"/>
                <w:b w:val="0"/>
                <w:bCs w:val="0"/>
                <w:color w:val="000000" w:themeColor="text1"/>
                <w:kern w:val="2"/>
                <w:sz w:val="22"/>
                <w:szCs w:val="22"/>
                <w:highlight w:val="none"/>
                <w:lang w:eastAsia="zh-CN"/>
                <w14:textFill>
                  <w14:solidFill>
                    <w14:schemeClr w14:val="tx1"/>
                  </w14:solidFill>
                </w14:textFill>
              </w:rPr>
            </w:pPr>
            <w:r>
              <w:rPr>
                <w:rFonts w:hint="eastAsia" w:ascii="宋体" w:hAnsi="宋体" w:eastAsia="宋体" w:cs="Times New Roman"/>
                <w:b w:val="0"/>
                <w:bCs w:val="0"/>
                <w:color w:val="000000" w:themeColor="text1"/>
                <w:kern w:val="2"/>
                <w:sz w:val="22"/>
                <w:szCs w:val="22"/>
                <w:highlight w:val="none"/>
                <w:lang w:eastAsia="zh-CN"/>
                <w14:textFill>
                  <w14:solidFill>
                    <w14:schemeClr w14:val="tx1"/>
                  </w14:solidFill>
                </w14:textFill>
              </w:rPr>
              <w:t>消防给水及消火栓系统</w:t>
            </w:r>
          </w:p>
        </w:tc>
        <w:tc>
          <w:tcPr>
            <w:tcW w:w="7452" w:type="dxa"/>
            <w:vAlign w:val="center"/>
          </w:tcPr>
          <w:p w14:paraId="6829E2AA">
            <w:pPr>
              <w:widowControl w:val="0"/>
              <w:spacing w:after="0" w:line="240" w:lineRule="auto"/>
              <w:ind w:firstLine="440" w:firstLineChars="200"/>
              <w:jc w:val="left"/>
              <w:rPr>
                <w:rFonts w:hint="eastAsia" w:ascii="宋体" w:hAnsi="宋体" w:eastAsia="宋体" w:cs="Times New Roman"/>
                <w:b w:val="0"/>
                <w:bCs w:val="0"/>
                <w:color w:val="000000" w:themeColor="text1"/>
                <w:kern w:val="2"/>
                <w:sz w:val="22"/>
                <w:szCs w:val="22"/>
                <w:highlight w:val="none"/>
                <w:lang w:eastAsia="zh-CN"/>
                <w14:textFill>
                  <w14:solidFill>
                    <w14:schemeClr w14:val="tx1"/>
                  </w14:solidFill>
                </w14:textFill>
              </w:rPr>
            </w:pPr>
            <w:r>
              <w:rPr>
                <w:rFonts w:hint="eastAsia" w:ascii="宋体" w:hAnsi="宋体" w:eastAsia="宋体" w:cs="Times New Roman"/>
                <w:b w:val="0"/>
                <w:bCs w:val="0"/>
                <w:color w:val="000000" w:themeColor="text1"/>
                <w:kern w:val="2"/>
                <w:sz w:val="22"/>
                <w:szCs w:val="22"/>
                <w:highlight w:val="none"/>
                <w:lang w:eastAsia="zh-CN"/>
                <w14:textFill>
                  <w14:solidFill>
                    <w14:schemeClr w14:val="tx1"/>
                  </w14:solidFill>
                </w14:textFill>
              </w:rPr>
              <w:t>消防水泵、稳压罐维护；室内外消火栓出水压力测试；水泵接合器检查保养；管道阀门启闭测试与润滑；管网防腐处理。</w:t>
            </w:r>
          </w:p>
        </w:tc>
      </w:tr>
      <w:tr w14:paraId="5EB9D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334" w:type="dxa"/>
            <w:vAlign w:val="center"/>
          </w:tcPr>
          <w:p w14:paraId="325A1A1D">
            <w:pPr>
              <w:widowControl w:val="0"/>
              <w:spacing w:after="0" w:line="240" w:lineRule="auto"/>
              <w:ind w:firstLine="440" w:firstLineChars="200"/>
              <w:jc w:val="center"/>
              <w:rPr>
                <w:rFonts w:hint="eastAsia" w:ascii="宋体" w:hAnsi="宋体" w:eastAsia="宋体" w:cs="Times New Roman"/>
                <w:b w:val="0"/>
                <w:bCs w:val="0"/>
                <w:color w:val="000000" w:themeColor="text1"/>
                <w:kern w:val="2"/>
                <w:sz w:val="22"/>
                <w:szCs w:val="22"/>
                <w:highlight w:val="none"/>
                <w:lang w:eastAsia="zh-CN"/>
                <w14:textFill>
                  <w14:solidFill>
                    <w14:schemeClr w14:val="tx1"/>
                  </w14:solidFill>
                </w14:textFill>
              </w:rPr>
            </w:pPr>
            <w:r>
              <w:rPr>
                <w:rFonts w:hint="eastAsia" w:ascii="宋体" w:hAnsi="宋体" w:eastAsia="宋体" w:cs="Times New Roman"/>
                <w:b w:val="0"/>
                <w:bCs w:val="0"/>
                <w:color w:val="000000" w:themeColor="text1"/>
                <w:kern w:val="2"/>
                <w:sz w:val="22"/>
                <w:szCs w:val="22"/>
                <w:highlight w:val="none"/>
                <w:lang w:eastAsia="zh-CN"/>
                <w14:textFill>
                  <w14:solidFill>
                    <w14:schemeClr w14:val="tx1"/>
                  </w14:solidFill>
                </w14:textFill>
              </w:rPr>
              <w:t>防烟排烟系统</w:t>
            </w:r>
          </w:p>
        </w:tc>
        <w:tc>
          <w:tcPr>
            <w:tcW w:w="7452" w:type="dxa"/>
            <w:vAlign w:val="center"/>
          </w:tcPr>
          <w:p w14:paraId="54D1E9EF">
            <w:pPr>
              <w:widowControl w:val="0"/>
              <w:spacing w:after="0" w:line="240" w:lineRule="auto"/>
              <w:ind w:firstLine="440" w:firstLineChars="200"/>
              <w:jc w:val="left"/>
              <w:rPr>
                <w:rFonts w:hint="eastAsia" w:ascii="宋体" w:hAnsi="宋体" w:eastAsia="宋体" w:cs="Times New Roman"/>
                <w:b w:val="0"/>
                <w:bCs w:val="0"/>
                <w:color w:val="000000" w:themeColor="text1"/>
                <w:kern w:val="2"/>
                <w:sz w:val="22"/>
                <w:szCs w:val="22"/>
                <w:highlight w:val="none"/>
                <w:lang w:eastAsia="zh-CN"/>
                <w14:textFill>
                  <w14:solidFill>
                    <w14:schemeClr w14:val="tx1"/>
                  </w14:solidFill>
                </w14:textFill>
              </w:rPr>
            </w:pPr>
            <w:r>
              <w:rPr>
                <w:rFonts w:hint="eastAsia" w:ascii="宋体" w:hAnsi="宋体" w:eastAsia="宋体" w:cs="Times New Roman"/>
                <w:b w:val="0"/>
                <w:bCs w:val="0"/>
                <w:color w:val="000000" w:themeColor="text1"/>
                <w:kern w:val="2"/>
                <w:sz w:val="22"/>
                <w:szCs w:val="22"/>
                <w:highlight w:val="none"/>
                <w:lang w:eastAsia="zh-CN"/>
                <w14:textFill>
                  <w14:solidFill>
                    <w14:schemeClr w14:val="tx1"/>
                  </w14:solidFill>
                </w14:textFill>
              </w:rPr>
              <w:t>风机手动/自动启停测试；防火阀、排烟阀复位功能检查；送风排烟通道畅通性检查；控制系统联动测试。</w:t>
            </w:r>
          </w:p>
        </w:tc>
      </w:tr>
      <w:tr w14:paraId="315ED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334" w:type="dxa"/>
            <w:vAlign w:val="center"/>
          </w:tcPr>
          <w:p w14:paraId="429795FC">
            <w:pPr>
              <w:widowControl w:val="0"/>
              <w:spacing w:after="0" w:line="240" w:lineRule="auto"/>
              <w:ind w:firstLine="440" w:firstLineChars="200"/>
              <w:jc w:val="center"/>
              <w:rPr>
                <w:rFonts w:hint="eastAsia" w:ascii="宋体" w:hAnsi="宋体" w:eastAsia="宋体" w:cs="Times New Roman"/>
                <w:b w:val="0"/>
                <w:bCs w:val="0"/>
                <w:color w:val="000000" w:themeColor="text1"/>
                <w:kern w:val="2"/>
                <w:sz w:val="22"/>
                <w:szCs w:val="22"/>
                <w:highlight w:val="none"/>
                <w:lang w:eastAsia="zh-CN"/>
                <w14:textFill>
                  <w14:solidFill>
                    <w14:schemeClr w14:val="tx1"/>
                  </w14:solidFill>
                </w14:textFill>
              </w:rPr>
            </w:pPr>
            <w:r>
              <w:rPr>
                <w:rFonts w:hint="eastAsia" w:ascii="宋体" w:hAnsi="宋体" w:eastAsia="宋体" w:cs="Times New Roman"/>
                <w:b w:val="0"/>
                <w:bCs w:val="0"/>
                <w:color w:val="000000" w:themeColor="text1"/>
                <w:kern w:val="2"/>
                <w:sz w:val="22"/>
                <w:szCs w:val="22"/>
                <w:highlight w:val="none"/>
                <w:lang w:eastAsia="zh-CN"/>
                <w14:textFill>
                  <w14:solidFill>
                    <w14:schemeClr w14:val="tx1"/>
                  </w14:solidFill>
                </w14:textFill>
              </w:rPr>
              <w:t>应急照明与疏散系统</w:t>
            </w:r>
          </w:p>
        </w:tc>
        <w:tc>
          <w:tcPr>
            <w:tcW w:w="7452" w:type="dxa"/>
            <w:vAlign w:val="center"/>
          </w:tcPr>
          <w:p w14:paraId="0A9D47CA">
            <w:pPr>
              <w:widowControl w:val="0"/>
              <w:spacing w:after="0" w:line="240" w:lineRule="auto"/>
              <w:ind w:firstLine="440" w:firstLineChars="200"/>
              <w:jc w:val="left"/>
              <w:rPr>
                <w:rFonts w:hint="eastAsia" w:ascii="宋体" w:hAnsi="宋体" w:eastAsia="宋体" w:cs="Times New Roman"/>
                <w:b w:val="0"/>
                <w:bCs w:val="0"/>
                <w:color w:val="000000" w:themeColor="text1"/>
                <w:kern w:val="2"/>
                <w:sz w:val="22"/>
                <w:szCs w:val="22"/>
                <w:highlight w:val="none"/>
                <w:lang w:eastAsia="zh-CN"/>
                <w14:textFill>
                  <w14:solidFill>
                    <w14:schemeClr w14:val="tx1"/>
                  </w14:solidFill>
                </w14:textFill>
              </w:rPr>
            </w:pPr>
            <w:r>
              <w:rPr>
                <w:rFonts w:hint="eastAsia" w:ascii="宋体" w:hAnsi="宋体" w:eastAsia="宋体" w:cs="Times New Roman"/>
                <w:b w:val="0"/>
                <w:bCs w:val="0"/>
                <w:color w:val="000000" w:themeColor="text1"/>
                <w:kern w:val="2"/>
                <w:sz w:val="22"/>
                <w:szCs w:val="22"/>
                <w:highlight w:val="none"/>
                <w:lang w:eastAsia="zh-CN"/>
                <w14:textFill>
                  <w14:solidFill>
                    <w14:schemeClr w14:val="tx1"/>
                  </w14:solidFill>
                </w14:textFill>
              </w:rPr>
              <w:t>应急照明灯、疏散指示标志的照度测试、充放电试验；集中电源或备用蓄电池的检查与更换。</w:t>
            </w:r>
          </w:p>
        </w:tc>
      </w:tr>
      <w:tr w14:paraId="35F59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334" w:type="dxa"/>
            <w:vAlign w:val="center"/>
          </w:tcPr>
          <w:p w14:paraId="3B4535FE">
            <w:pPr>
              <w:widowControl w:val="0"/>
              <w:spacing w:after="0" w:line="240" w:lineRule="auto"/>
              <w:ind w:firstLine="440" w:firstLineChars="200"/>
              <w:jc w:val="center"/>
              <w:rPr>
                <w:rFonts w:hint="eastAsia" w:ascii="宋体" w:hAnsi="宋体" w:eastAsia="宋体" w:cs="Times New Roman"/>
                <w:b w:val="0"/>
                <w:bCs w:val="0"/>
                <w:color w:val="000000" w:themeColor="text1"/>
                <w:kern w:val="2"/>
                <w:sz w:val="22"/>
                <w:szCs w:val="22"/>
                <w:highlight w:val="none"/>
                <w:lang w:eastAsia="zh-CN"/>
                <w14:textFill>
                  <w14:solidFill>
                    <w14:schemeClr w14:val="tx1"/>
                  </w14:solidFill>
                </w14:textFill>
              </w:rPr>
            </w:pPr>
            <w:r>
              <w:rPr>
                <w:rFonts w:hint="eastAsia" w:ascii="宋体" w:hAnsi="宋体" w:eastAsia="宋体" w:cs="Times New Roman"/>
                <w:b w:val="0"/>
                <w:bCs w:val="0"/>
                <w:color w:val="000000" w:themeColor="text1"/>
                <w:kern w:val="2"/>
                <w:sz w:val="22"/>
                <w:szCs w:val="22"/>
                <w:highlight w:val="none"/>
                <w:lang w:eastAsia="zh-CN"/>
                <w14:textFill>
                  <w14:solidFill>
                    <w14:schemeClr w14:val="tx1"/>
                  </w14:solidFill>
                </w14:textFill>
              </w:rPr>
              <w:t>防火分隔设施</w:t>
            </w:r>
          </w:p>
        </w:tc>
        <w:tc>
          <w:tcPr>
            <w:tcW w:w="7452" w:type="dxa"/>
            <w:vAlign w:val="center"/>
          </w:tcPr>
          <w:p w14:paraId="4562F600">
            <w:pPr>
              <w:widowControl w:val="0"/>
              <w:spacing w:after="0" w:line="240" w:lineRule="auto"/>
              <w:ind w:firstLine="440" w:firstLineChars="200"/>
              <w:jc w:val="left"/>
              <w:rPr>
                <w:rFonts w:hint="eastAsia" w:ascii="宋体" w:hAnsi="宋体" w:eastAsia="宋体" w:cs="Times New Roman"/>
                <w:b w:val="0"/>
                <w:bCs w:val="0"/>
                <w:color w:val="000000" w:themeColor="text1"/>
                <w:kern w:val="2"/>
                <w:sz w:val="22"/>
                <w:szCs w:val="22"/>
                <w:highlight w:val="none"/>
                <w:lang w:eastAsia="zh-CN"/>
                <w14:textFill>
                  <w14:solidFill>
                    <w14:schemeClr w14:val="tx1"/>
                  </w14:solidFill>
                </w14:textFill>
              </w:rPr>
            </w:pPr>
            <w:r>
              <w:rPr>
                <w:rFonts w:hint="eastAsia" w:ascii="宋体" w:hAnsi="宋体" w:eastAsia="宋体" w:cs="Times New Roman"/>
                <w:b w:val="0"/>
                <w:bCs w:val="0"/>
                <w:color w:val="000000" w:themeColor="text1"/>
                <w:kern w:val="2"/>
                <w:sz w:val="22"/>
                <w:szCs w:val="22"/>
                <w:highlight w:val="none"/>
                <w:lang w:eastAsia="zh-CN"/>
                <w14:textFill>
                  <w14:solidFill>
                    <w14:schemeClr w14:val="tx1"/>
                  </w14:solidFill>
                </w14:textFill>
              </w:rPr>
              <w:t>防火门、防火卷帘的启闭灵活性检查；闭门器、顺序器功能调试；防火卷帘控制箱及备用电池检测更换。</w:t>
            </w:r>
          </w:p>
        </w:tc>
      </w:tr>
      <w:tr w14:paraId="127EA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334" w:type="dxa"/>
            <w:vAlign w:val="center"/>
          </w:tcPr>
          <w:p w14:paraId="7D5F6B7E">
            <w:pPr>
              <w:widowControl w:val="0"/>
              <w:spacing w:after="0" w:line="240" w:lineRule="auto"/>
              <w:ind w:firstLine="440" w:firstLineChars="200"/>
              <w:jc w:val="center"/>
              <w:rPr>
                <w:rFonts w:hint="eastAsia" w:ascii="宋体" w:hAnsi="宋体" w:eastAsia="宋体" w:cs="Times New Roman"/>
                <w:b w:val="0"/>
                <w:bCs w:val="0"/>
                <w:color w:val="000000" w:themeColor="text1"/>
                <w:kern w:val="2"/>
                <w:sz w:val="22"/>
                <w:szCs w:val="22"/>
                <w:highlight w:val="none"/>
                <w:lang w:eastAsia="zh-CN"/>
                <w14:textFill>
                  <w14:solidFill>
                    <w14:schemeClr w14:val="tx1"/>
                  </w14:solidFill>
                </w14:textFill>
              </w:rPr>
            </w:pPr>
            <w:r>
              <w:rPr>
                <w:rFonts w:hint="eastAsia" w:ascii="宋体" w:hAnsi="宋体" w:eastAsia="宋体" w:cs="Times New Roman"/>
                <w:b w:val="0"/>
                <w:bCs w:val="0"/>
                <w:color w:val="000000" w:themeColor="text1"/>
                <w:kern w:val="2"/>
                <w:sz w:val="22"/>
                <w:szCs w:val="22"/>
                <w:highlight w:val="none"/>
                <w:lang w:eastAsia="zh-CN"/>
                <w14:textFill>
                  <w14:solidFill>
                    <w14:schemeClr w14:val="tx1"/>
                  </w14:solidFill>
                </w14:textFill>
              </w:rPr>
              <w:t>其他相关设施</w:t>
            </w:r>
          </w:p>
        </w:tc>
        <w:tc>
          <w:tcPr>
            <w:tcW w:w="7452" w:type="dxa"/>
            <w:vAlign w:val="center"/>
          </w:tcPr>
          <w:p w14:paraId="1378B7E9">
            <w:pPr>
              <w:widowControl w:val="0"/>
              <w:spacing w:after="0" w:line="240" w:lineRule="auto"/>
              <w:ind w:firstLine="440" w:firstLineChars="200"/>
              <w:jc w:val="left"/>
              <w:rPr>
                <w:rFonts w:hint="eastAsia" w:ascii="宋体" w:hAnsi="宋体" w:eastAsia="宋体" w:cs="Times New Roman"/>
                <w:b w:val="0"/>
                <w:bCs w:val="0"/>
                <w:color w:val="000000" w:themeColor="text1"/>
                <w:kern w:val="2"/>
                <w:sz w:val="22"/>
                <w:szCs w:val="22"/>
                <w:highlight w:val="none"/>
                <w:lang w:eastAsia="zh-CN"/>
                <w14:textFill>
                  <w14:solidFill>
                    <w14:schemeClr w14:val="tx1"/>
                  </w14:solidFill>
                </w14:textFill>
              </w:rPr>
            </w:pPr>
            <w:r>
              <w:rPr>
                <w:rFonts w:hint="eastAsia" w:ascii="宋体" w:hAnsi="宋体" w:eastAsia="宋体" w:cs="Times New Roman"/>
                <w:b w:val="0"/>
                <w:bCs w:val="0"/>
                <w:color w:val="000000" w:themeColor="text1"/>
                <w:kern w:val="2"/>
                <w:sz w:val="22"/>
                <w:szCs w:val="22"/>
                <w:highlight w:val="none"/>
                <w:lang w:eastAsia="zh-CN"/>
                <w14:textFill>
                  <w14:solidFill>
                    <w14:schemeClr w14:val="tx1"/>
                  </w14:solidFill>
                </w14:textFill>
              </w:rPr>
              <w:t>灭火器压力检查与定期更换；消防电话、广播系统测试；消防电梯迫降功能测试等。</w:t>
            </w:r>
          </w:p>
        </w:tc>
      </w:tr>
    </w:tbl>
    <w:p w14:paraId="538DD195">
      <w:pPr>
        <w:widowControl w:val="0"/>
        <w:spacing w:after="0" w:line="360" w:lineRule="auto"/>
        <w:ind w:firstLine="440" w:firstLineChars="200"/>
        <w:jc w:val="both"/>
        <w:rPr>
          <w:rFonts w:hint="eastAsia" w:ascii="宋体" w:hAnsi="宋体" w:eastAsia="宋体" w:cs="Times New Roman"/>
          <w:b w:val="0"/>
          <w:bCs w:val="0"/>
          <w:color w:val="000000" w:themeColor="text1"/>
          <w:kern w:val="2"/>
          <w:sz w:val="22"/>
          <w:szCs w:val="22"/>
          <w:highlight w:val="none"/>
          <w:lang w:eastAsia="zh-CN"/>
          <w14:textFill>
            <w14:solidFill>
              <w14:schemeClr w14:val="tx1"/>
            </w14:solidFill>
          </w14:textFill>
        </w:rPr>
      </w:pPr>
    </w:p>
    <w:p w14:paraId="3C5D183E">
      <w:pPr>
        <w:widowControl w:val="0"/>
        <w:spacing w:after="0" w:line="360" w:lineRule="auto"/>
        <w:ind w:firstLine="440" w:firstLineChars="200"/>
        <w:jc w:val="both"/>
        <w:rPr>
          <w:rFonts w:hint="eastAsia" w:ascii="宋体" w:hAnsi="宋体" w:eastAsia="宋体" w:cs="Times New Roman"/>
          <w:b w:val="0"/>
          <w:bCs w:val="0"/>
          <w:color w:val="000000" w:themeColor="text1"/>
          <w:kern w:val="2"/>
          <w:sz w:val="22"/>
          <w:szCs w:val="22"/>
          <w:highlight w:val="none"/>
          <w:lang w:eastAsia="zh-CN"/>
          <w14:textFill>
            <w14:solidFill>
              <w14:schemeClr w14:val="tx1"/>
            </w14:solidFill>
          </w14:textFill>
        </w:rPr>
      </w:pPr>
      <w:r>
        <w:rPr>
          <w:rFonts w:hint="eastAsia" w:ascii="宋体" w:hAnsi="宋体" w:eastAsia="宋体" w:cs="Times New Roman"/>
          <w:b w:val="0"/>
          <w:bCs w:val="0"/>
          <w:color w:val="000000" w:themeColor="text1"/>
          <w:kern w:val="2"/>
          <w:sz w:val="22"/>
          <w:szCs w:val="22"/>
          <w:highlight w:val="none"/>
          <w:lang w:eastAsia="zh-CN"/>
          <w14:textFill>
            <w14:solidFill>
              <w14:schemeClr w14:val="tx1"/>
            </w14:solidFill>
          </w14:textFill>
        </w:rPr>
        <w:t>(三) 人员培训与演练支持</w:t>
      </w:r>
    </w:p>
    <w:p w14:paraId="3B1DD2AC">
      <w:pPr>
        <w:widowControl w:val="0"/>
        <w:spacing w:after="0" w:line="360" w:lineRule="auto"/>
        <w:ind w:firstLine="440" w:firstLineChars="200"/>
        <w:jc w:val="both"/>
        <w:rPr>
          <w:rFonts w:hint="eastAsia" w:ascii="宋体" w:hAnsi="宋体" w:eastAsia="宋体" w:cs="Times New Roman"/>
          <w:b w:val="0"/>
          <w:bCs w:val="0"/>
          <w:color w:val="000000" w:themeColor="text1"/>
          <w:kern w:val="2"/>
          <w:sz w:val="22"/>
          <w:szCs w:val="22"/>
          <w:highlight w:val="none"/>
          <w:lang w:eastAsia="zh-CN"/>
          <w14:textFill>
            <w14:solidFill>
              <w14:schemeClr w14:val="tx1"/>
            </w14:solidFill>
          </w14:textFill>
        </w:rPr>
      </w:pPr>
      <w:r>
        <w:rPr>
          <w:rFonts w:hint="eastAsia" w:ascii="宋体" w:hAnsi="宋体" w:eastAsia="宋体" w:cs="Times New Roman"/>
          <w:b w:val="0"/>
          <w:bCs w:val="0"/>
          <w:color w:val="000000" w:themeColor="text1"/>
          <w:kern w:val="2"/>
          <w:sz w:val="22"/>
          <w:szCs w:val="22"/>
          <w:highlight w:val="none"/>
          <w:lang w:eastAsia="zh-CN"/>
          <w14:textFill>
            <w14:solidFill>
              <w14:schemeClr w14:val="tx1"/>
            </w14:solidFill>
          </w14:textFill>
        </w:rPr>
        <w:t>1.专业能力提升培训：每学期至少为我校专职消防管理人员、消防控制室值班人员及微型消防站队员提供一次深度培训，内容涵盖系统原理、设备实操、故障识别与应急处置。</w:t>
      </w:r>
    </w:p>
    <w:p w14:paraId="30B38065">
      <w:pPr>
        <w:widowControl w:val="0"/>
        <w:spacing w:after="0" w:line="360" w:lineRule="auto"/>
        <w:ind w:firstLine="440" w:firstLineChars="200"/>
        <w:jc w:val="both"/>
        <w:rPr>
          <w:rFonts w:hint="eastAsia" w:ascii="宋体" w:hAnsi="宋体" w:eastAsia="宋体" w:cs="Times New Roman"/>
          <w:b w:val="0"/>
          <w:bCs w:val="0"/>
          <w:color w:val="000000" w:themeColor="text1"/>
          <w:kern w:val="2"/>
          <w:sz w:val="22"/>
          <w:szCs w:val="22"/>
          <w:highlight w:val="none"/>
          <w:lang w:eastAsia="zh-CN"/>
          <w14:textFill>
            <w14:solidFill>
              <w14:schemeClr w14:val="tx1"/>
            </w14:solidFill>
          </w14:textFill>
        </w:rPr>
      </w:pPr>
      <w:r>
        <w:rPr>
          <w:rFonts w:hint="eastAsia" w:ascii="宋体" w:hAnsi="宋体" w:eastAsia="宋体" w:cs="Times New Roman"/>
          <w:b w:val="0"/>
          <w:bCs w:val="0"/>
          <w:color w:val="000000" w:themeColor="text1"/>
          <w:kern w:val="2"/>
          <w:sz w:val="22"/>
          <w:szCs w:val="22"/>
          <w:highlight w:val="none"/>
          <w:lang w:eastAsia="zh-CN"/>
          <w14:textFill>
            <w14:solidFill>
              <w14:schemeClr w14:val="tx1"/>
            </w14:solidFill>
          </w14:textFill>
        </w:rPr>
        <w:t>2.实战化演练配合：全力配合并技术指导我校每学期举行的全校性综合消防演练或各校区专项演练，负责预设技术故障、评估系统响应、保障演练安全，切实提升实战能力。</w:t>
      </w:r>
    </w:p>
    <w:p w14:paraId="6C90BDE2">
      <w:pPr>
        <w:widowControl w:val="0"/>
        <w:spacing w:after="0" w:line="360" w:lineRule="auto"/>
        <w:ind w:firstLine="440" w:firstLineChars="200"/>
        <w:jc w:val="both"/>
        <w:rPr>
          <w:rFonts w:hint="eastAsia" w:ascii="宋体" w:hAnsi="宋体" w:eastAsia="宋体" w:cs="Times New Roman"/>
          <w:b w:val="0"/>
          <w:bCs w:val="0"/>
          <w:color w:val="000000" w:themeColor="text1"/>
          <w:kern w:val="2"/>
          <w:sz w:val="22"/>
          <w:szCs w:val="22"/>
          <w:highlight w:val="none"/>
          <w:lang w:eastAsia="zh-CN"/>
          <w14:textFill>
            <w14:solidFill>
              <w14:schemeClr w14:val="tx1"/>
            </w14:solidFill>
          </w14:textFill>
        </w:rPr>
      </w:pPr>
      <w:r>
        <w:rPr>
          <w:rFonts w:hint="eastAsia" w:ascii="宋体" w:hAnsi="宋体" w:eastAsia="宋体" w:cs="Times New Roman"/>
          <w:b w:val="0"/>
          <w:bCs w:val="0"/>
          <w:color w:val="000000" w:themeColor="text1"/>
          <w:kern w:val="2"/>
          <w:sz w:val="22"/>
          <w:szCs w:val="22"/>
          <w:highlight w:val="none"/>
          <w:lang w:eastAsia="zh-CN"/>
          <w14:textFill>
            <w14:solidFill>
              <w14:schemeClr w14:val="tx1"/>
            </w14:solidFill>
          </w14:textFill>
        </w:rPr>
        <w:t>3.全员普及教育支持：协助我校保卫部门开展新生入学、教职工岗前等常规性消防安全知识讲座，提供技术讲解支持。</w:t>
      </w:r>
    </w:p>
    <w:p w14:paraId="0B5EC817">
      <w:pPr>
        <w:widowControl w:val="0"/>
        <w:spacing w:after="0" w:line="360" w:lineRule="auto"/>
        <w:ind w:firstLine="440" w:firstLineChars="200"/>
        <w:jc w:val="both"/>
        <w:rPr>
          <w:rFonts w:hint="eastAsia" w:ascii="宋体" w:hAnsi="宋体" w:eastAsia="宋体" w:cs="Times New Roman"/>
          <w:b w:val="0"/>
          <w:bCs w:val="0"/>
          <w:color w:val="000000" w:themeColor="text1"/>
          <w:kern w:val="2"/>
          <w:sz w:val="22"/>
          <w:szCs w:val="22"/>
          <w:highlight w:val="none"/>
          <w:lang w:eastAsia="zh-CN"/>
          <w14:textFill>
            <w14:solidFill>
              <w14:schemeClr w14:val="tx1"/>
            </w14:solidFill>
          </w14:textFill>
        </w:rPr>
      </w:pPr>
      <w:r>
        <w:rPr>
          <w:rFonts w:hint="eastAsia" w:ascii="宋体" w:hAnsi="宋体" w:eastAsia="宋体" w:cs="Times New Roman"/>
          <w:b w:val="0"/>
          <w:bCs w:val="0"/>
          <w:color w:val="000000" w:themeColor="text1"/>
          <w:kern w:val="2"/>
          <w:sz w:val="22"/>
          <w:szCs w:val="22"/>
          <w:highlight w:val="none"/>
          <w:lang w:eastAsia="zh-CN"/>
          <w14:textFill>
            <w14:solidFill>
              <w14:schemeClr w14:val="tx1"/>
            </w14:solidFill>
          </w14:textFill>
        </w:rPr>
        <w:t>(四) 应急响应与专项保障</w:t>
      </w:r>
    </w:p>
    <w:p w14:paraId="783F00B6">
      <w:pPr>
        <w:widowControl w:val="0"/>
        <w:spacing w:after="0" w:line="360" w:lineRule="auto"/>
        <w:ind w:firstLine="440" w:firstLineChars="200"/>
        <w:jc w:val="both"/>
        <w:rPr>
          <w:rFonts w:hint="eastAsia" w:ascii="宋体" w:hAnsi="宋体" w:eastAsia="宋体" w:cs="Times New Roman"/>
          <w:b w:val="0"/>
          <w:bCs w:val="0"/>
          <w:color w:val="000000" w:themeColor="text1"/>
          <w:kern w:val="2"/>
          <w:sz w:val="22"/>
          <w:szCs w:val="22"/>
          <w:highlight w:val="none"/>
          <w:lang w:eastAsia="zh-CN"/>
          <w14:textFill>
            <w14:solidFill>
              <w14:schemeClr w14:val="tx1"/>
            </w14:solidFill>
          </w14:textFill>
        </w:rPr>
      </w:pPr>
      <w:r>
        <w:rPr>
          <w:rFonts w:hint="eastAsia" w:ascii="宋体" w:hAnsi="宋体" w:eastAsia="宋体" w:cs="Times New Roman"/>
          <w:b w:val="0"/>
          <w:bCs w:val="0"/>
          <w:color w:val="000000" w:themeColor="text1"/>
          <w:kern w:val="2"/>
          <w:sz w:val="22"/>
          <w:szCs w:val="22"/>
          <w:highlight w:val="none"/>
          <w:lang w:eastAsia="zh-CN"/>
          <w14:textFill>
            <w14:solidFill>
              <w14:schemeClr w14:val="tx1"/>
            </w14:solidFill>
          </w14:textFill>
        </w:rPr>
        <w:t>1.故障应急响应：提供7×24小时应急电话。接到故障报修后，城区内2小时、城区外4小时内技术人员到场；一般故障24小时内修复；复杂故障需立即书面说明原因及预计修复时间，并指导甲方采取临时防护措施。</w:t>
      </w:r>
    </w:p>
    <w:p w14:paraId="5EF333DA">
      <w:pPr>
        <w:widowControl w:val="0"/>
        <w:spacing w:after="0" w:line="360" w:lineRule="auto"/>
        <w:ind w:firstLine="440" w:firstLineChars="200"/>
        <w:jc w:val="both"/>
        <w:rPr>
          <w:rFonts w:hint="eastAsia" w:ascii="宋体" w:hAnsi="宋体" w:eastAsia="宋体" w:cs="Times New Roman"/>
          <w:b w:val="0"/>
          <w:bCs w:val="0"/>
          <w:color w:val="000000" w:themeColor="text1"/>
          <w:kern w:val="2"/>
          <w:sz w:val="22"/>
          <w:szCs w:val="22"/>
          <w:highlight w:val="none"/>
          <w:lang w:eastAsia="zh-CN"/>
          <w14:textFill>
            <w14:solidFill>
              <w14:schemeClr w14:val="tx1"/>
            </w14:solidFill>
          </w14:textFill>
        </w:rPr>
      </w:pPr>
      <w:r>
        <w:rPr>
          <w:rFonts w:hint="eastAsia" w:ascii="宋体" w:hAnsi="宋体" w:eastAsia="宋体" w:cs="Times New Roman"/>
          <w:b w:val="0"/>
          <w:bCs w:val="0"/>
          <w:color w:val="000000" w:themeColor="text1"/>
          <w:kern w:val="2"/>
          <w:sz w:val="22"/>
          <w:szCs w:val="22"/>
          <w:highlight w:val="none"/>
          <w:lang w:eastAsia="zh-CN"/>
          <w14:textFill>
            <w14:solidFill>
              <w14:schemeClr w14:val="tx1"/>
            </w14:solidFill>
          </w14:textFill>
        </w:rPr>
        <w:t>2.重大活动保障：在校内举办大型集会、考试、庆典等活动前，应甲方要求，协助进行专项消防安全评估与检查，并可根据需要派驻技术人员现场值守，提供应急技术支持。</w:t>
      </w:r>
    </w:p>
    <w:p w14:paraId="53E8EEB0">
      <w:pPr>
        <w:widowControl w:val="0"/>
        <w:spacing w:after="0" w:line="360" w:lineRule="auto"/>
        <w:ind w:firstLine="440" w:firstLineChars="200"/>
        <w:jc w:val="both"/>
        <w:rPr>
          <w:rFonts w:hint="eastAsia" w:ascii="宋体" w:hAnsi="宋体" w:eastAsia="宋体" w:cs="Times New Roman"/>
          <w:b w:val="0"/>
          <w:bCs w:val="0"/>
          <w:color w:val="000000" w:themeColor="text1"/>
          <w:kern w:val="2"/>
          <w:sz w:val="22"/>
          <w:szCs w:val="22"/>
          <w:highlight w:val="none"/>
          <w:lang w:eastAsia="zh-CN"/>
          <w14:textFill>
            <w14:solidFill>
              <w14:schemeClr w14:val="tx1"/>
            </w14:solidFill>
          </w14:textFill>
        </w:rPr>
      </w:pPr>
      <w:r>
        <w:rPr>
          <w:rFonts w:hint="eastAsia" w:ascii="宋体" w:hAnsi="宋体" w:eastAsia="宋体" w:cs="Times New Roman"/>
          <w:b w:val="0"/>
          <w:bCs w:val="0"/>
          <w:color w:val="000000" w:themeColor="text1"/>
          <w:kern w:val="2"/>
          <w:sz w:val="22"/>
          <w:szCs w:val="22"/>
          <w:highlight w:val="none"/>
          <w:lang w:eastAsia="zh-CN"/>
          <w14:textFill>
            <w14:solidFill>
              <w14:schemeClr w14:val="tx1"/>
            </w14:solidFill>
          </w14:textFill>
        </w:rPr>
        <w:t>3.节假日保障：协助甲方在法定节假日前开展消防安全集中检查，排除隐患。</w:t>
      </w:r>
    </w:p>
    <w:p w14:paraId="4BA7EE81">
      <w:pPr>
        <w:widowControl w:val="0"/>
        <w:spacing w:after="0" w:line="360" w:lineRule="auto"/>
        <w:ind w:firstLine="440" w:firstLineChars="200"/>
        <w:jc w:val="both"/>
        <w:rPr>
          <w:rFonts w:hint="eastAsia" w:ascii="宋体" w:hAnsi="宋体" w:eastAsia="宋体" w:cs="Times New Roman"/>
          <w:b w:val="0"/>
          <w:bCs w:val="0"/>
          <w:color w:val="000000" w:themeColor="text1"/>
          <w:kern w:val="2"/>
          <w:sz w:val="22"/>
          <w:szCs w:val="22"/>
          <w:highlight w:val="none"/>
          <w:lang w:eastAsia="zh-CN"/>
          <w14:textFill>
            <w14:solidFill>
              <w14:schemeClr w14:val="tx1"/>
            </w14:solidFill>
          </w14:textFill>
        </w:rPr>
      </w:pPr>
      <w:r>
        <w:rPr>
          <w:rFonts w:hint="eastAsia" w:ascii="宋体" w:hAnsi="宋体" w:eastAsia="宋体" w:cs="Times New Roman"/>
          <w:b w:val="0"/>
          <w:bCs w:val="0"/>
          <w:color w:val="000000" w:themeColor="text1"/>
          <w:kern w:val="2"/>
          <w:sz w:val="22"/>
          <w:szCs w:val="22"/>
          <w:highlight w:val="none"/>
          <w:lang w:eastAsia="zh-CN"/>
          <w14:textFill>
            <w14:solidFill>
              <w14:schemeClr w14:val="tx1"/>
            </w14:solidFill>
          </w14:textFill>
        </w:rPr>
        <w:t>(五) 沟通协调与档案管理</w:t>
      </w:r>
    </w:p>
    <w:p w14:paraId="16339CF8">
      <w:pPr>
        <w:widowControl w:val="0"/>
        <w:spacing w:after="0" w:line="360" w:lineRule="auto"/>
        <w:ind w:firstLine="440" w:firstLineChars="200"/>
        <w:jc w:val="both"/>
        <w:rPr>
          <w:rFonts w:hint="eastAsia" w:ascii="宋体" w:hAnsi="宋体" w:eastAsia="宋体" w:cs="Times New Roman"/>
          <w:b w:val="0"/>
          <w:bCs w:val="0"/>
          <w:color w:val="000000" w:themeColor="text1"/>
          <w:kern w:val="2"/>
          <w:sz w:val="22"/>
          <w:szCs w:val="22"/>
          <w:highlight w:val="none"/>
          <w:lang w:eastAsia="zh-CN"/>
          <w14:textFill>
            <w14:solidFill>
              <w14:schemeClr w14:val="tx1"/>
            </w14:solidFill>
          </w14:textFill>
        </w:rPr>
      </w:pPr>
      <w:r>
        <w:rPr>
          <w:rFonts w:hint="eastAsia" w:ascii="宋体" w:hAnsi="宋体" w:eastAsia="宋体" w:cs="Times New Roman"/>
          <w:b w:val="0"/>
          <w:bCs w:val="0"/>
          <w:color w:val="000000" w:themeColor="text1"/>
          <w:kern w:val="2"/>
          <w:sz w:val="22"/>
          <w:szCs w:val="22"/>
          <w:highlight w:val="none"/>
          <w:lang w:eastAsia="zh-CN"/>
          <w14:textFill>
            <w14:solidFill>
              <w14:schemeClr w14:val="tx1"/>
            </w14:solidFill>
          </w14:textFill>
        </w:rPr>
        <w:t>1.行政协调支持：协助甲方处理与消防主管部门的日常沟通联络，在迎接消防监督检查时，提供全程现场技术支持和问题整改指导。</w:t>
      </w:r>
    </w:p>
    <w:p w14:paraId="047FC6DB">
      <w:pPr>
        <w:widowControl w:val="0"/>
        <w:spacing w:after="0" w:line="360" w:lineRule="auto"/>
        <w:ind w:firstLine="440" w:firstLineChars="200"/>
        <w:jc w:val="both"/>
        <w:rPr>
          <w:rFonts w:hint="eastAsia" w:ascii="宋体" w:hAnsi="宋体" w:eastAsia="宋体" w:cs="Times New Roman"/>
          <w:b w:val="0"/>
          <w:bCs w:val="0"/>
          <w:color w:val="000000" w:themeColor="text1"/>
          <w:kern w:val="2"/>
          <w:sz w:val="22"/>
          <w:szCs w:val="22"/>
          <w:highlight w:val="none"/>
          <w:lang w:eastAsia="zh-CN"/>
          <w14:textFill>
            <w14:solidFill>
              <w14:schemeClr w14:val="tx1"/>
            </w14:solidFill>
          </w14:textFill>
        </w:rPr>
      </w:pPr>
      <w:r>
        <w:rPr>
          <w:rFonts w:hint="eastAsia" w:ascii="宋体" w:hAnsi="宋体" w:eastAsia="宋体" w:cs="Times New Roman"/>
          <w:b w:val="0"/>
          <w:bCs w:val="0"/>
          <w:color w:val="000000" w:themeColor="text1"/>
          <w:kern w:val="2"/>
          <w:sz w:val="22"/>
          <w:szCs w:val="22"/>
          <w:highlight w:val="none"/>
          <w:lang w:eastAsia="zh-CN"/>
          <w14:textFill>
            <w14:solidFill>
              <w14:schemeClr w14:val="tx1"/>
            </w14:solidFill>
          </w14:textFill>
        </w:rPr>
        <w:t>2.维保档案管理：每次保养、维修、测试后，需向甲方提交由双方签字确认的标准格式工作单。每季度提供一份系统运行状况分析报告，年终提交包含全部检测数据的年度综合评估报告。</w:t>
      </w:r>
    </w:p>
    <w:p w14:paraId="23DCEC7E">
      <w:pPr>
        <w:widowControl w:val="0"/>
        <w:spacing w:after="0" w:line="360" w:lineRule="auto"/>
        <w:ind w:firstLine="440" w:firstLineChars="200"/>
        <w:jc w:val="both"/>
        <w:rPr>
          <w:rFonts w:hint="eastAsia" w:ascii="宋体" w:hAnsi="宋体" w:eastAsia="宋体" w:cs="Times New Roman"/>
          <w:b w:val="0"/>
          <w:bCs w:val="0"/>
          <w:color w:val="000000" w:themeColor="text1"/>
          <w:kern w:val="2"/>
          <w:sz w:val="22"/>
          <w:szCs w:val="22"/>
          <w:highlight w:val="none"/>
          <w:lang w:eastAsia="zh-CN"/>
          <w14:textFill>
            <w14:solidFill>
              <w14:schemeClr w14:val="tx1"/>
            </w14:solidFill>
          </w14:textFill>
        </w:rPr>
      </w:pPr>
      <w:r>
        <w:rPr>
          <w:rFonts w:hint="eastAsia" w:ascii="宋体" w:hAnsi="宋体" w:eastAsia="宋体" w:cs="Times New Roman"/>
          <w:b w:val="0"/>
          <w:bCs w:val="0"/>
          <w:color w:val="000000" w:themeColor="text1"/>
          <w:kern w:val="2"/>
          <w:sz w:val="22"/>
          <w:szCs w:val="22"/>
          <w:highlight w:val="none"/>
          <w:lang w:eastAsia="zh-CN"/>
          <w14:textFill>
            <w14:solidFill>
              <w14:schemeClr w14:val="tx1"/>
            </w14:solidFill>
          </w14:textFill>
        </w:rPr>
        <w:t>(六) 零配件供应</w:t>
      </w:r>
    </w:p>
    <w:p w14:paraId="585E540A">
      <w:pPr>
        <w:widowControl w:val="0"/>
        <w:spacing w:after="0" w:line="360" w:lineRule="auto"/>
        <w:ind w:firstLine="440" w:firstLineChars="200"/>
        <w:jc w:val="both"/>
        <w:rPr>
          <w:rFonts w:hint="eastAsia" w:ascii="宋体" w:hAnsi="宋体" w:eastAsia="宋体" w:cs="Times New Roman"/>
          <w:b w:val="0"/>
          <w:bCs w:val="0"/>
          <w:color w:val="000000" w:themeColor="text1"/>
          <w:kern w:val="2"/>
          <w:sz w:val="22"/>
          <w:szCs w:val="22"/>
          <w:highlight w:val="none"/>
          <w:lang w:eastAsia="zh-CN"/>
          <w14:textFill>
            <w14:solidFill>
              <w14:schemeClr w14:val="tx1"/>
            </w14:solidFill>
          </w14:textFill>
        </w:rPr>
      </w:pPr>
      <w:r>
        <w:rPr>
          <w:rFonts w:hint="eastAsia" w:ascii="宋体" w:hAnsi="宋体" w:eastAsia="宋体" w:cs="Times New Roman"/>
          <w:b w:val="0"/>
          <w:bCs w:val="0"/>
          <w:color w:val="000000" w:themeColor="text1"/>
          <w:kern w:val="2"/>
          <w:sz w:val="22"/>
          <w:szCs w:val="22"/>
          <w:highlight w:val="none"/>
          <w:lang w:eastAsia="zh-CN"/>
          <w14:textFill>
            <w14:solidFill>
              <w14:schemeClr w14:val="tx1"/>
            </w14:solidFill>
          </w14:textFill>
        </w:rPr>
        <w:t>1.</w:t>
      </w:r>
      <w:r>
        <w:rPr>
          <w:rFonts w:hint="eastAsia" w:ascii="宋体" w:hAnsi="宋体" w:eastAsia="宋体" w:cs="Times New Roman"/>
          <w:b w:val="0"/>
          <w:bCs w:val="0"/>
          <w:color w:val="FF0000"/>
          <w:kern w:val="2"/>
          <w:sz w:val="22"/>
          <w:szCs w:val="22"/>
          <w:highlight w:val="none"/>
          <w:lang w:eastAsia="zh-CN"/>
        </w:rPr>
        <w:t>乙方应免费提供年度累计价值不低于人民币叁仟元整（￥3,000）的日常易损零配件</w:t>
      </w:r>
      <w:r>
        <w:rPr>
          <w:rFonts w:hint="eastAsia" w:ascii="宋体" w:hAnsi="宋体" w:eastAsia="宋体" w:cs="Times New Roman"/>
          <w:b w:val="0"/>
          <w:bCs w:val="0"/>
          <w:color w:val="000000" w:themeColor="text1"/>
          <w:kern w:val="2"/>
          <w:sz w:val="22"/>
          <w:szCs w:val="22"/>
          <w:highlight w:val="none"/>
          <w:lang w:eastAsia="zh-CN"/>
          <w14:textFill>
            <w14:solidFill>
              <w14:schemeClr w14:val="tx1"/>
            </w14:solidFill>
          </w14:textFill>
        </w:rPr>
        <w:t>（如</w:t>
      </w:r>
      <w:r>
        <w:rPr>
          <w:rFonts w:hint="eastAsia" w:ascii="宋体" w:hAnsi="宋体" w:eastAsia="宋体" w:cs="Times New Roman"/>
          <w:b w:val="0"/>
          <w:bCs w:val="0"/>
          <w:color w:val="000000" w:themeColor="text1"/>
          <w:kern w:val="2"/>
          <w:sz w:val="22"/>
          <w:szCs w:val="22"/>
          <w:highlight w:val="none"/>
          <w:lang w:val="en-US" w:eastAsia="zh-CN"/>
          <w14:textFill>
            <w14:solidFill>
              <w14:schemeClr w14:val="tx1"/>
            </w14:solidFill>
          </w14:textFill>
        </w:rPr>
        <w:t>疏散指示标志</w:t>
      </w:r>
      <w:r>
        <w:rPr>
          <w:rFonts w:hint="eastAsia" w:ascii="宋体" w:hAnsi="宋体" w:eastAsia="宋体" w:cs="Times New Roman"/>
          <w:b w:val="0"/>
          <w:bCs w:val="0"/>
          <w:color w:val="000000" w:themeColor="text1"/>
          <w:kern w:val="2"/>
          <w:sz w:val="22"/>
          <w:szCs w:val="22"/>
          <w:highlight w:val="none"/>
          <w:lang w:eastAsia="zh-CN"/>
          <w14:textFill>
            <w14:solidFill>
              <w14:schemeClr w14:val="tx1"/>
            </w14:solidFill>
          </w14:textFill>
        </w:rPr>
        <w:t>、模块、小型继电器、密封垫、</w:t>
      </w:r>
      <w:r>
        <w:rPr>
          <w:rFonts w:hint="eastAsia" w:ascii="宋体" w:hAnsi="宋体" w:eastAsia="宋体" w:cs="Times New Roman"/>
          <w:b w:val="0"/>
          <w:bCs w:val="0"/>
          <w:color w:val="000000" w:themeColor="text1"/>
          <w:kern w:val="2"/>
          <w:sz w:val="22"/>
          <w:szCs w:val="22"/>
          <w:highlight w:val="none"/>
          <w:lang w:val="en-US" w:eastAsia="zh-CN"/>
          <w14:textFill>
            <w14:solidFill>
              <w14:schemeClr w14:val="tx1"/>
            </w14:solidFill>
          </w14:textFill>
        </w:rPr>
        <w:t>阀门</w:t>
      </w:r>
      <w:r>
        <w:rPr>
          <w:rFonts w:hint="eastAsia" w:ascii="宋体" w:hAnsi="宋体" w:eastAsia="宋体" w:cs="Times New Roman"/>
          <w:b w:val="0"/>
          <w:bCs w:val="0"/>
          <w:color w:val="000000" w:themeColor="text1"/>
          <w:kern w:val="2"/>
          <w:sz w:val="22"/>
          <w:szCs w:val="22"/>
          <w:highlight w:val="none"/>
          <w:lang w:eastAsia="zh-CN"/>
          <w14:textFill>
            <w14:solidFill>
              <w14:schemeClr w14:val="tx1"/>
            </w14:solidFill>
          </w14:textFill>
        </w:rPr>
        <w:t>等），投标时需附详细清单及市场价格。</w:t>
      </w:r>
    </w:p>
    <w:p w14:paraId="5BC1A1D7">
      <w:pPr>
        <w:widowControl w:val="0"/>
        <w:spacing w:after="0" w:line="360" w:lineRule="auto"/>
        <w:ind w:firstLine="440" w:firstLineChars="200"/>
        <w:jc w:val="both"/>
        <w:rPr>
          <w:rFonts w:hint="eastAsia" w:ascii="宋体" w:hAnsi="宋体" w:eastAsia="宋体" w:cs="Times New Roman"/>
          <w:b w:val="0"/>
          <w:bCs w:val="0"/>
          <w:color w:val="000000" w:themeColor="text1"/>
          <w:kern w:val="2"/>
          <w:sz w:val="22"/>
          <w:szCs w:val="22"/>
          <w:highlight w:val="none"/>
          <w:lang w:eastAsia="zh-CN"/>
          <w14:textFill>
            <w14:solidFill>
              <w14:schemeClr w14:val="tx1"/>
            </w14:solidFill>
          </w14:textFill>
        </w:rPr>
      </w:pPr>
      <w:r>
        <w:rPr>
          <w:rFonts w:hint="eastAsia" w:ascii="宋体" w:hAnsi="宋体" w:eastAsia="宋体" w:cs="Times New Roman"/>
          <w:b w:val="0"/>
          <w:bCs w:val="0"/>
          <w:color w:val="000000" w:themeColor="text1"/>
          <w:kern w:val="2"/>
          <w:sz w:val="22"/>
          <w:szCs w:val="22"/>
          <w:highlight w:val="none"/>
          <w:lang w:eastAsia="zh-CN"/>
          <w14:textFill>
            <w14:solidFill>
              <w14:schemeClr w14:val="tx1"/>
            </w14:solidFill>
          </w14:textFill>
        </w:rPr>
        <w:t>2.价值较高或非通用的设备、材料更换，由乙方提前申报计划，经甲方审核同意后，由甲方采购或委托乙方采购，乙方负责免费安装调试。</w:t>
      </w:r>
    </w:p>
    <w:p w14:paraId="0C38CE81">
      <w:pPr>
        <w:widowControl w:val="0"/>
        <w:spacing w:after="0" w:line="360" w:lineRule="auto"/>
        <w:ind w:firstLine="440" w:firstLineChars="200"/>
        <w:jc w:val="both"/>
        <w:rPr>
          <w:rFonts w:hint="eastAsia" w:ascii="宋体" w:hAnsi="宋体" w:eastAsia="宋体" w:cs="Times New Roman"/>
          <w:b w:val="0"/>
          <w:bCs w:val="0"/>
          <w:color w:val="000000" w:themeColor="text1"/>
          <w:kern w:val="2"/>
          <w:sz w:val="22"/>
          <w:szCs w:val="22"/>
          <w:highlight w:val="none"/>
          <w:lang w:val="en-US" w:eastAsia="zh-CN"/>
          <w14:textFill>
            <w14:solidFill>
              <w14:schemeClr w14:val="tx1"/>
            </w14:solidFill>
          </w14:textFill>
        </w:rPr>
      </w:pPr>
      <w:r>
        <w:rPr>
          <w:rFonts w:hint="eastAsia" w:ascii="宋体" w:hAnsi="宋体" w:eastAsia="宋体" w:cs="Times New Roman"/>
          <w:b w:val="0"/>
          <w:bCs w:val="0"/>
          <w:color w:val="000000" w:themeColor="text1"/>
          <w:kern w:val="2"/>
          <w:sz w:val="22"/>
          <w:szCs w:val="22"/>
          <w:highlight w:val="none"/>
          <w:lang w:eastAsia="zh-CN"/>
          <w14:textFill>
            <w14:solidFill>
              <w14:schemeClr w14:val="tx1"/>
            </w14:solidFill>
          </w14:textFill>
        </w:rPr>
        <w:t>（</w:t>
      </w:r>
      <w:r>
        <w:rPr>
          <w:rFonts w:hint="eastAsia" w:ascii="宋体" w:hAnsi="宋体" w:eastAsia="宋体" w:cs="Times New Roman"/>
          <w:b w:val="0"/>
          <w:bCs w:val="0"/>
          <w:color w:val="000000" w:themeColor="text1"/>
          <w:kern w:val="2"/>
          <w:sz w:val="22"/>
          <w:szCs w:val="22"/>
          <w:highlight w:val="none"/>
          <w:lang w:val="en-US" w:eastAsia="zh-CN"/>
          <w14:textFill>
            <w14:solidFill>
              <w14:schemeClr w14:val="tx1"/>
            </w14:solidFill>
          </w14:textFill>
        </w:rPr>
        <w:t>七</w:t>
      </w:r>
      <w:r>
        <w:rPr>
          <w:rFonts w:hint="eastAsia" w:ascii="宋体" w:hAnsi="宋体" w:eastAsia="宋体" w:cs="Times New Roman"/>
          <w:b w:val="0"/>
          <w:bCs w:val="0"/>
          <w:color w:val="000000" w:themeColor="text1"/>
          <w:kern w:val="2"/>
          <w:sz w:val="22"/>
          <w:szCs w:val="22"/>
          <w:highlight w:val="none"/>
          <w:lang w:eastAsia="zh-CN"/>
          <w14:textFill>
            <w14:solidFill>
              <w14:schemeClr w14:val="tx1"/>
            </w14:solidFill>
          </w14:textFill>
        </w:rPr>
        <w:t>）</w:t>
      </w:r>
      <w:r>
        <w:rPr>
          <w:rFonts w:hint="eastAsia" w:ascii="宋体" w:hAnsi="宋体" w:eastAsia="宋体" w:cs="Times New Roman"/>
          <w:b w:val="0"/>
          <w:bCs w:val="0"/>
          <w:color w:val="000000" w:themeColor="text1"/>
          <w:kern w:val="2"/>
          <w:sz w:val="22"/>
          <w:szCs w:val="22"/>
          <w:highlight w:val="none"/>
          <w:lang w:val="en-US" w:eastAsia="zh-CN"/>
          <w14:textFill>
            <w14:solidFill>
              <w14:schemeClr w14:val="tx1"/>
            </w14:solidFill>
          </w14:textFill>
        </w:rPr>
        <w:t>冻损维护</w:t>
      </w:r>
    </w:p>
    <w:p w14:paraId="7E1953E4">
      <w:pPr>
        <w:widowControl w:val="0"/>
        <w:spacing w:after="0" w:line="360" w:lineRule="auto"/>
        <w:ind w:firstLine="440" w:firstLineChars="200"/>
        <w:jc w:val="both"/>
        <w:rPr>
          <w:rFonts w:hint="eastAsia" w:ascii="宋体" w:hAnsi="宋体" w:eastAsia="宋体" w:cs="Times New Roman"/>
          <w:b w:val="0"/>
          <w:bCs w:val="0"/>
          <w:color w:val="000000" w:themeColor="text1"/>
          <w:kern w:val="2"/>
          <w:sz w:val="22"/>
          <w:szCs w:val="22"/>
          <w:highlight w:val="none"/>
          <w:lang w:val="en-US" w:eastAsia="zh-CN"/>
          <w14:textFill>
            <w14:solidFill>
              <w14:schemeClr w14:val="tx1"/>
            </w14:solidFill>
          </w14:textFill>
        </w:rPr>
      </w:pPr>
      <w:r>
        <w:rPr>
          <w:rFonts w:hint="eastAsia" w:ascii="宋体" w:hAnsi="宋体" w:eastAsia="宋体" w:cs="Times New Roman"/>
          <w:b w:val="0"/>
          <w:bCs w:val="0"/>
          <w:color w:val="000000" w:themeColor="text1"/>
          <w:kern w:val="2"/>
          <w:sz w:val="22"/>
          <w:szCs w:val="22"/>
          <w:highlight w:val="none"/>
          <w:lang w:val="en-US" w:eastAsia="zh-CN"/>
          <w14:textFill>
            <w14:solidFill>
              <w14:schemeClr w14:val="tx1"/>
            </w14:solidFill>
          </w14:textFill>
        </w:rPr>
        <w:t>冬季低温易造成消防喷淋头、管网等消防设施冻裂损坏，损坏后须立即组织维修，确保系统正常运行。</w:t>
      </w:r>
    </w:p>
    <w:p w14:paraId="2DB1FC08">
      <w:pPr>
        <w:widowControl w:val="0"/>
        <w:spacing w:after="0" w:line="360" w:lineRule="auto"/>
        <w:ind w:firstLine="440" w:firstLineChars="200"/>
        <w:jc w:val="both"/>
        <w:rPr>
          <w:rFonts w:hint="eastAsia" w:ascii="宋体" w:hAnsi="宋体" w:eastAsia="宋体" w:cs="Times New Roman"/>
          <w:b w:val="0"/>
          <w:bCs w:val="0"/>
          <w:color w:val="000000" w:themeColor="text1"/>
          <w:kern w:val="2"/>
          <w:sz w:val="22"/>
          <w:szCs w:val="22"/>
          <w:highlight w:val="none"/>
          <w:lang w:eastAsia="zh-CN"/>
          <w14:textFill>
            <w14:solidFill>
              <w14:schemeClr w14:val="tx1"/>
            </w14:solidFill>
          </w14:textFill>
        </w:rPr>
      </w:pPr>
      <w:r>
        <w:rPr>
          <w:rFonts w:hint="eastAsia" w:ascii="宋体" w:hAnsi="宋体" w:eastAsia="宋体" w:cs="Times New Roman"/>
          <w:b w:val="0"/>
          <w:bCs w:val="0"/>
          <w:color w:val="000000" w:themeColor="text1"/>
          <w:kern w:val="2"/>
          <w:sz w:val="22"/>
          <w:szCs w:val="22"/>
          <w:highlight w:val="none"/>
          <w:lang w:eastAsia="zh-CN"/>
          <w14:textFill>
            <w14:solidFill>
              <w14:schemeClr w14:val="tx1"/>
            </w14:solidFill>
          </w14:textFill>
        </w:rPr>
        <w:t>四、 服务承诺与考核</w:t>
      </w:r>
    </w:p>
    <w:p w14:paraId="035C0218">
      <w:pPr>
        <w:widowControl w:val="0"/>
        <w:spacing w:after="0" w:line="360" w:lineRule="auto"/>
        <w:ind w:firstLine="440" w:firstLineChars="200"/>
        <w:jc w:val="both"/>
        <w:rPr>
          <w:rFonts w:hint="eastAsia" w:ascii="宋体" w:hAnsi="宋体" w:eastAsia="宋体" w:cs="Times New Roman"/>
          <w:b w:val="0"/>
          <w:bCs w:val="0"/>
          <w:color w:val="000000" w:themeColor="text1"/>
          <w:kern w:val="2"/>
          <w:sz w:val="22"/>
          <w:szCs w:val="22"/>
          <w:highlight w:val="none"/>
          <w:lang w:eastAsia="zh-CN"/>
          <w14:textFill>
            <w14:solidFill>
              <w14:schemeClr w14:val="tx1"/>
            </w14:solidFill>
          </w14:textFill>
        </w:rPr>
      </w:pPr>
      <w:r>
        <w:rPr>
          <w:rFonts w:hint="eastAsia" w:ascii="宋体" w:hAnsi="宋体" w:eastAsia="宋体" w:cs="Times New Roman"/>
          <w:b w:val="0"/>
          <w:bCs w:val="0"/>
          <w:color w:val="000000" w:themeColor="text1"/>
          <w:kern w:val="2"/>
          <w:sz w:val="22"/>
          <w:szCs w:val="22"/>
          <w:highlight w:val="none"/>
          <w:lang w:eastAsia="zh-CN"/>
          <w14:textFill>
            <w14:solidFill>
              <w14:schemeClr w14:val="tx1"/>
            </w14:solidFill>
          </w14:textFill>
        </w:rPr>
        <w:t>乙方在投标时需出具针对本项目的《维保服务承诺书》，明确包含但不限于以下内容，并作为合同附件：</w:t>
      </w:r>
    </w:p>
    <w:p w14:paraId="68DEFCAA">
      <w:pPr>
        <w:widowControl w:val="0"/>
        <w:spacing w:after="0" w:line="360" w:lineRule="auto"/>
        <w:ind w:firstLine="440" w:firstLineChars="200"/>
        <w:jc w:val="both"/>
        <w:rPr>
          <w:rFonts w:hint="eastAsia" w:ascii="宋体" w:hAnsi="宋体" w:eastAsia="宋体" w:cs="Times New Roman"/>
          <w:b w:val="0"/>
          <w:bCs w:val="0"/>
          <w:color w:val="000000" w:themeColor="text1"/>
          <w:kern w:val="2"/>
          <w:sz w:val="22"/>
          <w:szCs w:val="22"/>
          <w:highlight w:val="none"/>
          <w:lang w:eastAsia="zh-CN"/>
          <w14:textFill>
            <w14:solidFill>
              <w14:schemeClr w14:val="tx1"/>
            </w14:solidFill>
          </w14:textFill>
        </w:rPr>
      </w:pPr>
      <w:r>
        <w:rPr>
          <w:rFonts w:hint="eastAsia" w:ascii="宋体" w:hAnsi="宋体" w:eastAsia="宋体" w:cs="Times New Roman"/>
          <w:b w:val="0"/>
          <w:bCs w:val="0"/>
          <w:color w:val="000000" w:themeColor="text1"/>
          <w:kern w:val="2"/>
          <w:sz w:val="22"/>
          <w:szCs w:val="22"/>
          <w:highlight w:val="none"/>
          <w:lang w:eastAsia="zh-CN"/>
          <w14:textFill>
            <w14:solidFill>
              <w14:schemeClr w14:val="tx1"/>
            </w14:solidFill>
          </w14:textFill>
        </w:rPr>
        <w:t>1.派驻项目负责人及技术人员的资质与稳定性承诺。</w:t>
      </w:r>
    </w:p>
    <w:p w14:paraId="2491A53C">
      <w:pPr>
        <w:widowControl w:val="0"/>
        <w:spacing w:after="0" w:line="360" w:lineRule="auto"/>
        <w:ind w:firstLine="440" w:firstLineChars="200"/>
        <w:jc w:val="both"/>
        <w:rPr>
          <w:rFonts w:hint="eastAsia" w:ascii="宋体" w:hAnsi="宋体" w:eastAsia="宋体" w:cs="Times New Roman"/>
          <w:b w:val="0"/>
          <w:bCs w:val="0"/>
          <w:color w:val="000000" w:themeColor="text1"/>
          <w:kern w:val="2"/>
          <w:sz w:val="22"/>
          <w:szCs w:val="22"/>
          <w:highlight w:val="none"/>
          <w:lang w:eastAsia="zh-CN"/>
          <w14:textFill>
            <w14:solidFill>
              <w14:schemeClr w14:val="tx1"/>
            </w14:solidFill>
          </w14:textFill>
        </w:rPr>
      </w:pPr>
      <w:r>
        <w:rPr>
          <w:rFonts w:hint="eastAsia" w:ascii="宋体" w:hAnsi="宋体" w:eastAsia="宋体" w:cs="Times New Roman"/>
          <w:b w:val="0"/>
          <w:bCs w:val="0"/>
          <w:color w:val="000000" w:themeColor="text1"/>
          <w:kern w:val="2"/>
          <w:sz w:val="22"/>
          <w:szCs w:val="22"/>
          <w:highlight w:val="none"/>
          <w:lang w:eastAsia="zh-CN"/>
          <w14:textFill>
            <w14:solidFill>
              <w14:schemeClr w14:val="tx1"/>
            </w14:solidFill>
          </w14:textFill>
        </w:rPr>
        <w:t>2.确保系统全年完好率（不低于99%）、故障修复及时率的量化承诺。</w:t>
      </w:r>
    </w:p>
    <w:p w14:paraId="12F050C2">
      <w:pPr>
        <w:widowControl w:val="0"/>
        <w:spacing w:after="0" w:line="360" w:lineRule="auto"/>
        <w:ind w:firstLine="440" w:firstLineChars="200"/>
        <w:jc w:val="both"/>
        <w:rPr>
          <w:rFonts w:hint="eastAsia" w:ascii="宋体" w:hAnsi="宋体" w:eastAsia="宋体" w:cs="Times New Roman"/>
          <w:b w:val="0"/>
          <w:bCs w:val="0"/>
          <w:color w:val="000000" w:themeColor="text1"/>
          <w:kern w:val="2"/>
          <w:sz w:val="22"/>
          <w:szCs w:val="22"/>
          <w:highlight w:val="none"/>
          <w:lang w:eastAsia="zh-CN"/>
          <w14:textFill>
            <w14:solidFill>
              <w14:schemeClr w14:val="tx1"/>
            </w14:solidFill>
          </w14:textFill>
        </w:rPr>
      </w:pPr>
      <w:r>
        <w:rPr>
          <w:rFonts w:hint="eastAsia" w:ascii="宋体" w:hAnsi="宋体" w:eastAsia="宋体" w:cs="Times New Roman"/>
          <w:b w:val="0"/>
          <w:bCs w:val="0"/>
          <w:color w:val="000000" w:themeColor="text1"/>
          <w:kern w:val="2"/>
          <w:sz w:val="22"/>
          <w:szCs w:val="22"/>
          <w:highlight w:val="none"/>
          <w:lang w:eastAsia="zh-CN"/>
          <w14:textFill>
            <w14:solidFill>
              <w14:schemeClr w14:val="tx1"/>
            </w14:solidFill>
          </w14:textFill>
        </w:rPr>
        <w:t>3.严格遵守校园安全管理规定，自行承担其人员、设备安全责任的承诺。</w:t>
      </w:r>
    </w:p>
    <w:p w14:paraId="2C83E973">
      <w:pPr>
        <w:widowControl w:val="0"/>
        <w:spacing w:after="0" w:line="360" w:lineRule="auto"/>
        <w:ind w:firstLine="440" w:firstLineChars="200"/>
        <w:jc w:val="both"/>
        <w:rPr>
          <w:rFonts w:hint="eastAsia" w:ascii="宋体" w:hAnsi="宋体" w:eastAsia="宋体" w:cs="Times New Roman"/>
          <w:b w:val="0"/>
          <w:bCs w:val="0"/>
          <w:color w:val="000000" w:themeColor="text1"/>
          <w:kern w:val="2"/>
          <w:sz w:val="22"/>
          <w:szCs w:val="22"/>
          <w:highlight w:val="none"/>
          <w:lang w:val="en-US" w:eastAsia="zh-CN"/>
          <w14:textFill>
            <w14:solidFill>
              <w14:schemeClr w14:val="tx1"/>
            </w14:solidFill>
          </w14:textFill>
        </w:rPr>
      </w:pPr>
      <w:r>
        <w:rPr>
          <w:rFonts w:hint="eastAsia" w:ascii="宋体" w:hAnsi="宋体" w:eastAsia="宋体" w:cs="Times New Roman"/>
          <w:b w:val="0"/>
          <w:bCs w:val="0"/>
          <w:color w:val="000000" w:themeColor="text1"/>
          <w:kern w:val="2"/>
          <w:sz w:val="22"/>
          <w:szCs w:val="22"/>
          <w:highlight w:val="none"/>
          <w:lang w:eastAsia="zh-CN"/>
          <w14:textFill>
            <w14:solidFill>
              <w14:schemeClr w14:val="tx1"/>
            </w14:solidFill>
          </w14:textFill>
        </w:rPr>
        <w:t>4.接受甲方对维保工作的监督、检查与考核，并依据考核结果持续改进服务的承诺。</w:t>
      </w:r>
    </w:p>
    <w:p w14:paraId="7A19323C">
      <w:pPr>
        <w:widowControl w:val="0"/>
        <w:spacing w:after="0" w:line="360" w:lineRule="auto"/>
        <w:ind w:firstLine="442" w:firstLineChars="200"/>
        <w:jc w:val="both"/>
        <w:rPr>
          <w:rFonts w:hint="eastAsia" w:ascii="宋体" w:hAnsi="宋体" w:eastAsia="宋体" w:cs="Times New Roman"/>
          <w:b/>
          <w:bCs/>
          <w:color w:val="000000" w:themeColor="text1"/>
          <w:kern w:val="2"/>
          <w:sz w:val="22"/>
          <w:szCs w:val="22"/>
          <w:highlight w:val="none"/>
          <w:lang w:val="en-US" w:eastAsia="zh-CN"/>
          <w14:textFill>
            <w14:solidFill>
              <w14:schemeClr w14:val="tx1"/>
            </w14:solidFill>
          </w14:textFill>
        </w:rPr>
      </w:pPr>
    </w:p>
    <w:p w14:paraId="185F4DD6">
      <w:pPr>
        <w:pStyle w:val="33"/>
        <w:rPr>
          <w:rFonts w:hint="eastAsia" w:ascii="宋体" w:hAnsi="宋体" w:eastAsia="宋体" w:cs="Times New Roman"/>
          <w:b/>
          <w:bCs/>
          <w:color w:val="000000" w:themeColor="text1"/>
          <w:kern w:val="2"/>
          <w:sz w:val="22"/>
          <w:szCs w:val="22"/>
          <w:highlight w:val="none"/>
          <w:lang w:val="en-US" w:eastAsia="zh-CN"/>
          <w14:textFill>
            <w14:solidFill>
              <w14:schemeClr w14:val="tx1"/>
            </w14:solidFill>
          </w14:textFill>
        </w:rPr>
      </w:pPr>
    </w:p>
    <w:p w14:paraId="735118CE">
      <w:pPr>
        <w:pStyle w:val="33"/>
        <w:rPr>
          <w:rFonts w:hint="eastAsia" w:ascii="宋体" w:hAnsi="宋体" w:eastAsia="宋体" w:cs="Times New Roman"/>
          <w:b/>
          <w:bCs/>
          <w:color w:val="000000" w:themeColor="text1"/>
          <w:kern w:val="2"/>
          <w:sz w:val="22"/>
          <w:szCs w:val="22"/>
          <w:highlight w:val="none"/>
          <w:lang w:val="en-US" w:eastAsia="zh-CN"/>
          <w14:textFill>
            <w14:solidFill>
              <w14:schemeClr w14:val="tx1"/>
            </w14:solidFill>
          </w14:textFill>
        </w:rPr>
      </w:pPr>
    </w:p>
    <w:p w14:paraId="7AF3799F">
      <w:pPr>
        <w:pStyle w:val="33"/>
        <w:rPr>
          <w:rFonts w:hint="eastAsia" w:ascii="宋体" w:hAnsi="宋体" w:eastAsia="宋体" w:cs="Times New Roman"/>
          <w:b/>
          <w:bCs/>
          <w:color w:val="000000" w:themeColor="text1"/>
          <w:kern w:val="2"/>
          <w:sz w:val="22"/>
          <w:szCs w:val="22"/>
          <w:highlight w:val="none"/>
          <w:lang w:val="en-US" w:eastAsia="zh-CN"/>
          <w14:textFill>
            <w14:solidFill>
              <w14:schemeClr w14:val="tx1"/>
            </w14:solidFill>
          </w14:textFill>
        </w:rPr>
      </w:pPr>
    </w:p>
    <w:p w14:paraId="7D67CEBB">
      <w:pPr>
        <w:pStyle w:val="33"/>
        <w:rPr>
          <w:rFonts w:hint="eastAsia" w:ascii="宋体" w:hAnsi="宋体" w:eastAsia="宋体" w:cs="Times New Roman"/>
          <w:b/>
          <w:bCs/>
          <w:color w:val="000000" w:themeColor="text1"/>
          <w:kern w:val="2"/>
          <w:sz w:val="22"/>
          <w:szCs w:val="22"/>
          <w:highlight w:val="none"/>
          <w:lang w:val="en-US" w:eastAsia="zh-CN"/>
          <w14:textFill>
            <w14:solidFill>
              <w14:schemeClr w14:val="tx1"/>
            </w14:solidFill>
          </w14:textFill>
        </w:rPr>
      </w:pPr>
    </w:p>
    <w:p w14:paraId="3618BFFC">
      <w:pPr>
        <w:pStyle w:val="33"/>
        <w:rPr>
          <w:rFonts w:hint="eastAsia" w:ascii="宋体" w:hAnsi="宋体" w:eastAsia="宋体" w:cs="Times New Roman"/>
          <w:b/>
          <w:bCs/>
          <w:color w:val="000000" w:themeColor="text1"/>
          <w:kern w:val="2"/>
          <w:sz w:val="22"/>
          <w:szCs w:val="22"/>
          <w:highlight w:val="none"/>
          <w:lang w:val="en-US" w:eastAsia="zh-CN"/>
          <w14:textFill>
            <w14:solidFill>
              <w14:schemeClr w14:val="tx1"/>
            </w14:solidFill>
          </w14:textFill>
        </w:rPr>
      </w:pPr>
    </w:p>
    <w:p w14:paraId="746FDC2C">
      <w:pPr>
        <w:pStyle w:val="33"/>
        <w:rPr>
          <w:rFonts w:hint="eastAsia" w:ascii="宋体" w:hAnsi="宋体" w:eastAsia="宋体" w:cs="Times New Roman"/>
          <w:b/>
          <w:bCs/>
          <w:color w:val="000000" w:themeColor="text1"/>
          <w:kern w:val="2"/>
          <w:sz w:val="22"/>
          <w:szCs w:val="22"/>
          <w:highlight w:val="none"/>
          <w:lang w:val="en-US" w:eastAsia="zh-CN"/>
          <w14:textFill>
            <w14:solidFill>
              <w14:schemeClr w14:val="tx1"/>
            </w14:solidFill>
          </w14:textFill>
        </w:rPr>
      </w:pPr>
    </w:p>
    <w:p w14:paraId="6226E355">
      <w:pPr>
        <w:pStyle w:val="33"/>
        <w:rPr>
          <w:rFonts w:hint="eastAsia" w:ascii="宋体" w:hAnsi="宋体" w:eastAsia="宋体" w:cs="Times New Roman"/>
          <w:b/>
          <w:bCs/>
          <w:color w:val="000000" w:themeColor="text1"/>
          <w:kern w:val="2"/>
          <w:sz w:val="22"/>
          <w:szCs w:val="22"/>
          <w:highlight w:val="none"/>
          <w:lang w:val="en-US" w:eastAsia="zh-CN"/>
          <w14:textFill>
            <w14:solidFill>
              <w14:schemeClr w14:val="tx1"/>
            </w14:solidFill>
          </w14:textFill>
        </w:rPr>
      </w:pPr>
    </w:p>
    <w:p w14:paraId="2D66E3F1">
      <w:pPr>
        <w:pStyle w:val="33"/>
        <w:rPr>
          <w:rFonts w:hint="eastAsia" w:ascii="宋体" w:hAnsi="宋体" w:eastAsia="宋体" w:cs="Times New Roman"/>
          <w:b/>
          <w:bCs/>
          <w:color w:val="000000" w:themeColor="text1"/>
          <w:kern w:val="2"/>
          <w:sz w:val="22"/>
          <w:szCs w:val="22"/>
          <w:highlight w:val="none"/>
          <w:lang w:val="en-US" w:eastAsia="zh-CN"/>
          <w14:textFill>
            <w14:solidFill>
              <w14:schemeClr w14:val="tx1"/>
            </w14:solidFill>
          </w14:textFill>
        </w:rPr>
      </w:pPr>
    </w:p>
    <w:p w14:paraId="1D80DA93">
      <w:pPr>
        <w:pStyle w:val="33"/>
        <w:ind w:left="0" w:leftChars="0" w:firstLine="0" w:firstLineChars="0"/>
        <w:rPr>
          <w:rFonts w:hint="eastAsia" w:ascii="宋体" w:hAnsi="宋体" w:eastAsia="宋体" w:cs="Times New Roman"/>
          <w:b/>
          <w:bCs/>
          <w:color w:val="000000" w:themeColor="text1"/>
          <w:kern w:val="2"/>
          <w:sz w:val="22"/>
          <w:szCs w:val="22"/>
          <w:highlight w:val="none"/>
          <w:lang w:val="en-US" w:eastAsia="zh-CN"/>
          <w14:textFill>
            <w14:solidFill>
              <w14:schemeClr w14:val="tx1"/>
            </w14:solidFill>
          </w14:textFill>
        </w:rPr>
      </w:pPr>
    </w:p>
    <w:p w14:paraId="3613EA8D">
      <w:pPr>
        <w:widowControl w:val="0"/>
        <w:spacing w:after="0" w:line="360" w:lineRule="auto"/>
        <w:ind w:firstLine="442" w:firstLineChars="200"/>
        <w:jc w:val="both"/>
        <w:rPr>
          <w:rFonts w:hint="eastAsia" w:ascii="宋体" w:hAnsi="宋体" w:eastAsia="宋体" w:cs="Times New Roman"/>
          <w:b/>
          <w:bCs/>
          <w:color w:val="000000" w:themeColor="text1"/>
          <w:kern w:val="2"/>
          <w:sz w:val="22"/>
          <w:szCs w:val="22"/>
          <w:highlight w:val="none"/>
          <w:lang w:val="en-US" w:eastAsia="zh-CN"/>
          <w14:textFill>
            <w14:solidFill>
              <w14:schemeClr w14:val="tx1"/>
            </w14:solidFill>
          </w14:textFill>
        </w:rPr>
      </w:pPr>
      <w:r>
        <w:rPr>
          <w:rFonts w:hint="eastAsia" w:ascii="宋体" w:hAnsi="宋体" w:eastAsia="宋体" w:cs="Times New Roman"/>
          <w:b/>
          <w:bCs/>
          <w:color w:val="000000" w:themeColor="text1"/>
          <w:kern w:val="2"/>
          <w:sz w:val="22"/>
          <w:szCs w:val="22"/>
          <w:highlight w:val="none"/>
          <w:lang w:val="en-US" w:eastAsia="zh-CN"/>
          <w14:textFill>
            <w14:solidFill>
              <w14:schemeClr w14:val="tx1"/>
            </w14:solidFill>
          </w14:textFill>
        </w:rPr>
        <w:t>附-消防设施维保服务单位工作要求及违约处罚规定</w:t>
      </w:r>
    </w:p>
    <w:p w14:paraId="579B6CCB">
      <w:pPr>
        <w:widowControl w:val="0"/>
        <w:spacing w:after="0" w:line="360" w:lineRule="auto"/>
        <w:ind w:firstLine="440" w:firstLineChars="200"/>
        <w:jc w:val="both"/>
        <w:rPr>
          <w:rFonts w:hint="eastAsia" w:ascii="宋体" w:hAnsi="宋体" w:eastAsia="宋体" w:cs="Times New Roman"/>
          <w:b w:val="0"/>
          <w:bCs w:val="0"/>
          <w:color w:val="000000" w:themeColor="text1"/>
          <w:kern w:val="2"/>
          <w:sz w:val="22"/>
          <w:szCs w:val="22"/>
          <w:highlight w:val="none"/>
          <w:lang w:val="en-US" w:eastAsia="zh-CN"/>
          <w14:textFill>
            <w14:solidFill>
              <w14:schemeClr w14:val="tx1"/>
            </w14:solidFill>
          </w14:textFill>
        </w:rPr>
      </w:pPr>
      <w:r>
        <w:rPr>
          <w:rFonts w:hint="eastAsia" w:ascii="宋体" w:hAnsi="宋体" w:eastAsia="宋体" w:cs="Times New Roman"/>
          <w:b w:val="0"/>
          <w:bCs w:val="0"/>
          <w:color w:val="000000" w:themeColor="text1"/>
          <w:kern w:val="2"/>
          <w:sz w:val="22"/>
          <w:szCs w:val="22"/>
          <w:highlight w:val="none"/>
          <w:lang w:val="en-US" w:eastAsia="zh-CN"/>
          <w14:textFill>
            <w14:solidFill>
              <w14:schemeClr w14:val="tx1"/>
            </w14:solidFill>
          </w14:textFill>
        </w:rPr>
        <w:t>为保障校园消防系统稳定运行，强化对消防维保服务的过程管控与结果追责，制定本制度。</w:t>
      </w:r>
    </w:p>
    <w:p w14:paraId="2C0467A8">
      <w:pPr>
        <w:widowControl w:val="0"/>
        <w:spacing w:after="0" w:line="360" w:lineRule="auto"/>
        <w:ind w:firstLine="440" w:firstLineChars="200"/>
        <w:jc w:val="both"/>
        <w:rPr>
          <w:rFonts w:hint="eastAsia" w:ascii="宋体" w:hAnsi="宋体" w:eastAsia="宋体" w:cs="Times New Roman"/>
          <w:b w:val="0"/>
          <w:bCs w:val="0"/>
          <w:color w:val="000000" w:themeColor="text1"/>
          <w:kern w:val="2"/>
          <w:sz w:val="22"/>
          <w:szCs w:val="22"/>
          <w:highlight w:val="none"/>
          <w:lang w:val="en-US" w:eastAsia="zh-CN"/>
          <w14:textFill>
            <w14:solidFill>
              <w14:schemeClr w14:val="tx1"/>
            </w14:solidFill>
          </w14:textFill>
        </w:rPr>
      </w:pPr>
      <w:r>
        <w:rPr>
          <w:rFonts w:hint="eastAsia" w:ascii="宋体" w:hAnsi="宋体" w:eastAsia="宋体" w:cs="Times New Roman"/>
          <w:b w:val="0"/>
          <w:bCs w:val="0"/>
          <w:color w:val="000000" w:themeColor="text1"/>
          <w:kern w:val="2"/>
          <w:sz w:val="22"/>
          <w:szCs w:val="22"/>
          <w:highlight w:val="none"/>
          <w:lang w:val="en-US" w:eastAsia="zh-CN"/>
          <w14:textFill>
            <w14:solidFill>
              <w14:schemeClr w14:val="tx1"/>
            </w14:solidFill>
          </w14:textFill>
        </w:rPr>
        <w:t xml:space="preserve">一、维保单位工作职责与标准要求  </w:t>
      </w:r>
    </w:p>
    <w:p w14:paraId="39685BE4">
      <w:pPr>
        <w:widowControl w:val="0"/>
        <w:spacing w:after="0" w:line="360" w:lineRule="auto"/>
        <w:ind w:firstLine="440" w:firstLineChars="200"/>
        <w:jc w:val="both"/>
        <w:rPr>
          <w:rFonts w:hint="eastAsia" w:ascii="宋体" w:hAnsi="宋体" w:eastAsia="宋体" w:cs="Times New Roman"/>
          <w:b w:val="0"/>
          <w:bCs w:val="0"/>
          <w:color w:val="000000" w:themeColor="text1"/>
          <w:kern w:val="2"/>
          <w:sz w:val="22"/>
          <w:szCs w:val="22"/>
          <w:highlight w:val="none"/>
          <w:lang w:val="en-US" w:eastAsia="zh-CN"/>
          <w14:textFill>
            <w14:solidFill>
              <w14:schemeClr w14:val="tx1"/>
            </w14:solidFill>
          </w14:textFill>
        </w:rPr>
      </w:pPr>
      <w:r>
        <w:rPr>
          <w:rFonts w:hint="eastAsia" w:ascii="宋体" w:hAnsi="宋体" w:eastAsia="宋体" w:cs="Times New Roman"/>
          <w:b w:val="0"/>
          <w:bCs w:val="0"/>
          <w:color w:val="000000" w:themeColor="text1"/>
          <w:kern w:val="2"/>
          <w:sz w:val="22"/>
          <w:szCs w:val="22"/>
          <w:highlight w:val="none"/>
          <w:lang w:val="en-US" w:eastAsia="zh-CN"/>
          <w14:textFill>
            <w14:solidFill>
              <w14:schemeClr w14:val="tx1"/>
            </w14:solidFill>
          </w14:textFill>
        </w:rPr>
        <w:t xml:space="preserve">根据《中华人民共和国消防法》《高等学校消防安全管理规定》及招标文件约定，中标维保单位须严格履行以下职责：  </w:t>
      </w:r>
    </w:p>
    <w:p w14:paraId="1AC8CE4C">
      <w:pPr>
        <w:widowControl w:val="0"/>
        <w:spacing w:after="0" w:line="360" w:lineRule="auto"/>
        <w:ind w:firstLine="440" w:firstLineChars="200"/>
        <w:jc w:val="both"/>
        <w:rPr>
          <w:rFonts w:hint="eastAsia" w:ascii="宋体" w:hAnsi="宋体" w:eastAsia="宋体" w:cs="Times New Roman"/>
          <w:b w:val="0"/>
          <w:bCs w:val="0"/>
          <w:color w:val="000000" w:themeColor="text1"/>
          <w:kern w:val="2"/>
          <w:sz w:val="22"/>
          <w:szCs w:val="22"/>
          <w:highlight w:val="none"/>
          <w:lang w:val="en-US" w:eastAsia="zh-CN"/>
          <w14:textFill>
            <w14:solidFill>
              <w14:schemeClr w14:val="tx1"/>
            </w14:solidFill>
          </w14:textFill>
        </w:rPr>
      </w:pPr>
      <w:r>
        <w:rPr>
          <w:rFonts w:hint="eastAsia" w:ascii="宋体" w:hAnsi="宋体" w:eastAsia="宋体" w:cs="Times New Roman"/>
          <w:b w:val="0"/>
          <w:bCs w:val="0"/>
          <w:color w:val="000000" w:themeColor="text1"/>
          <w:kern w:val="2"/>
          <w:sz w:val="22"/>
          <w:szCs w:val="22"/>
          <w:highlight w:val="none"/>
          <w:lang w:val="en-US" w:eastAsia="zh-CN"/>
          <w14:textFill>
            <w14:solidFill>
              <w14:schemeClr w14:val="tx1"/>
            </w14:solidFill>
          </w14:textFill>
        </w:rPr>
        <w:t xml:space="preserve">1. 维保范围：  </w:t>
      </w:r>
    </w:p>
    <w:p w14:paraId="2A0306A0">
      <w:pPr>
        <w:widowControl w:val="0"/>
        <w:spacing w:after="0" w:line="360" w:lineRule="auto"/>
        <w:ind w:firstLine="440" w:firstLineChars="200"/>
        <w:jc w:val="both"/>
        <w:rPr>
          <w:rFonts w:hint="eastAsia" w:ascii="宋体" w:hAnsi="宋体" w:eastAsia="宋体" w:cs="Times New Roman"/>
          <w:b w:val="0"/>
          <w:bCs w:val="0"/>
          <w:color w:val="000000" w:themeColor="text1"/>
          <w:kern w:val="2"/>
          <w:sz w:val="22"/>
          <w:szCs w:val="22"/>
          <w:highlight w:val="none"/>
          <w:lang w:val="en-US" w:eastAsia="zh-CN"/>
          <w14:textFill>
            <w14:solidFill>
              <w14:schemeClr w14:val="tx1"/>
            </w14:solidFill>
          </w14:textFill>
        </w:rPr>
      </w:pPr>
      <w:r>
        <w:rPr>
          <w:rFonts w:hint="eastAsia" w:ascii="宋体" w:hAnsi="宋体" w:eastAsia="宋体" w:cs="Times New Roman"/>
          <w:b w:val="0"/>
          <w:bCs w:val="0"/>
          <w:color w:val="000000" w:themeColor="text1"/>
          <w:kern w:val="2"/>
          <w:sz w:val="22"/>
          <w:szCs w:val="22"/>
          <w:highlight w:val="none"/>
          <w:lang w:val="en-US" w:eastAsia="zh-CN"/>
          <w14:textFill>
            <w14:solidFill>
              <w14:schemeClr w14:val="tx1"/>
            </w14:solidFill>
          </w14:textFill>
        </w:rPr>
        <w:t xml:space="preserve">   全面负责三个校区内消防报警系统、自动灭火系统、消火栓系统、防排烟系统、应急照明及疏散指示系统等设施的检查、测试、维修与保养工作。  </w:t>
      </w:r>
    </w:p>
    <w:p w14:paraId="351A9BE8">
      <w:pPr>
        <w:widowControl w:val="0"/>
        <w:spacing w:after="0" w:line="360" w:lineRule="auto"/>
        <w:ind w:firstLine="440" w:firstLineChars="200"/>
        <w:jc w:val="both"/>
        <w:rPr>
          <w:rFonts w:hint="eastAsia" w:ascii="宋体" w:hAnsi="宋体" w:eastAsia="宋体" w:cs="Times New Roman"/>
          <w:b w:val="0"/>
          <w:bCs w:val="0"/>
          <w:color w:val="000000" w:themeColor="text1"/>
          <w:kern w:val="2"/>
          <w:sz w:val="22"/>
          <w:szCs w:val="22"/>
          <w:highlight w:val="none"/>
          <w:lang w:val="en-US" w:eastAsia="zh-CN"/>
          <w14:textFill>
            <w14:solidFill>
              <w14:schemeClr w14:val="tx1"/>
            </w14:solidFill>
          </w14:textFill>
        </w:rPr>
      </w:pPr>
      <w:r>
        <w:rPr>
          <w:rFonts w:hint="eastAsia" w:ascii="宋体" w:hAnsi="宋体" w:eastAsia="宋体" w:cs="Times New Roman"/>
          <w:b w:val="0"/>
          <w:bCs w:val="0"/>
          <w:color w:val="000000" w:themeColor="text1"/>
          <w:kern w:val="2"/>
          <w:sz w:val="22"/>
          <w:szCs w:val="22"/>
          <w:highlight w:val="none"/>
          <w:lang w:val="en-US" w:eastAsia="zh-CN"/>
          <w14:textFill>
            <w14:solidFill>
              <w14:schemeClr w14:val="tx1"/>
            </w14:solidFill>
          </w14:textFill>
        </w:rPr>
        <w:t>2. 工作标准：</w:t>
      </w:r>
    </w:p>
    <w:p w14:paraId="51C32984">
      <w:pPr>
        <w:widowControl w:val="0"/>
        <w:spacing w:after="0" w:line="360" w:lineRule="auto"/>
        <w:ind w:firstLine="440" w:firstLineChars="200"/>
        <w:jc w:val="both"/>
        <w:rPr>
          <w:rFonts w:hint="eastAsia" w:ascii="宋体" w:hAnsi="宋体" w:eastAsia="宋体" w:cs="Times New Roman"/>
          <w:b w:val="0"/>
          <w:bCs w:val="0"/>
          <w:color w:val="000000" w:themeColor="text1"/>
          <w:kern w:val="2"/>
          <w:sz w:val="22"/>
          <w:szCs w:val="22"/>
          <w:highlight w:val="none"/>
          <w:lang w:val="en-US" w:eastAsia="zh-CN"/>
          <w14:textFill>
            <w14:solidFill>
              <w14:schemeClr w14:val="tx1"/>
            </w14:solidFill>
          </w14:textFill>
        </w:rPr>
      </w:pPr>
      <w:r>
        <w:rPr>
          <w:rFonts w:hint="eastAsia" w:ascii="宋体" w:hAnsi="宋体" w:eastAsia="宋体" w:cs="Times New Roman"/>
          <w:b w:val="0"/>
          <w:bCs w:val="0"/>
          <w:color w:val="000000" w:themeColor="text1"/>
          <w:kern w:val="2"/>
          <w:sz w:val="22"/>
          <w:szCs w:val="22"/>
          <w:highlight w:val="none"/>
          <w:lang w:val="en-US" w:eastAsia="zh-CN"/>
          <w14:textFill>
            <w14:solidFill>
              <w14:schemeClr w14:val="tx1"/>
            </w14:solidFill>
          </w14:textFill>
        </w:rPr>
        <w:t xml:space="preserve">响应时效：接到故障报修后，30分钟内响应，4小时内到达现场，一般故障24小时内修复，重大故障72小时内解决；  </w:t>
      </w:r>
    </w:p>
    <w:p w14:paraId="77E4D0E3">
      <w:pPr>
        <w:widowControl w:val="0"/>
        <w:spacing w:after="0" w:line="360" w:lineRule="auto"/>
        <w:ind w:firstLine="440" w:firstLineChars="200"/>
        <w:jc w:val="both"/>
        <w:rPr>
          <w:rFonts w:hint="eastAsia" w:ascii="宋体" w:hAnsi="宋体" w:eastAsia="宋体" w:cs="Times New Roman"/>
          <w:b w:val="0"/>
          <w:bCs w:val="0"/>
          <w:color w:val="000000" w:themeColor="text1"/>
          <w:kern w:val="2"/>
          <w:sz w:val="22"/>
          <w:szCs w:val="22"/>
          <w:highlight w:val="none"/>
          <w:lang w:val="en-US" w:eastAsia="zh-CN"/>
          <w14:textFill>
            <w14:solidFill>
              <w14:schemeClr w14:val="tx1"/>
            </w14:solidFill>
          </w14:textFill>
        </w:rPr>
      </w:pPr>
      <w:r>
        <w:rPr>
          <w:rFonts w:hint="eastAsia" w:ascii="宋体" w:hAnsi="宋体" w:eastAsia="宋体" w:cs="Times New Roman"/>
          <w:b w:val="0"/>
          <w:bCs w:val="0"/>
          <w:color w:val="000000" w:themeColor="text1"/>
          <w:kern w:val="2"/>
          <w:sz w:val="22"/>
          <w:szCs w:val="22"/>
          <w:highlight w:val="none"/>
          <w:lang w:val="en-US" w:eastAsia="zh-CN"/>
          <w14:textFill>
            <w14:solidFill>
              <w14:schemeClr w14:val="tx1"/>
            </w14:solidFill>
          </w14:textFill>
        </w:rPr>
        <w:t xml:space="preserve">3.定期维护：  </w:t>
      </w:r>
    </w:p>
    <w:p w14:paraId="4453764A">
      <w:pPr>
        <w:widowControl w:val="0"/>
        <w:spacing w:after="0" w:line="360" w:lineRule="auto"/>
        <w:ind w:firstLine="440" w:firstLineChars="200"/>
        <w:jc w:val="both"/>
        <w:rPr>
          <w:rFonts w:hint="eastAsia" w:ascii="宋体" w:hAnsi="宋体" w:eastAsia="宋体" w:cs="Times New Roman"/>
          <w:b w:val="0"/>
          <w:bCs w:val="0"/>
          <w:color w:val="000000" w:themeColor="text1"/>
          <w:kern w:val="2"/>
          <w:sz w:val="22"/>
          <w:szCs w:val="22"/>
          <w:highlight w:val="none"/>
          <w:lang w:val="en-US" w:eastAsia="zh-CN"/>
          <w14:textFill>
            <w14:solidFill>
              <w14:schemeClr w14:val="tx1"/>
            </w14:solidFill>
          </w14:textFill>
        </w:rPr>
      </w:pPr>
      <w:r>
        <w:rPr>
          <w:rFonts w:hint="eastAsia" w:ascii="宋体" w:hAnsi="宋体" w:eastAsia="宋体" w:cs="Times New Roman"/>
          <w:b w:val="0"/>
          <w:bCs w:val="0"/>
          <w:color w:val="000000" w:themeColor="text1"/>
          <w:kern w:val="2"/>
          <w:sz w:val="22"/>
          <w:szCs w:val="22"/>
          <w:highlight w:val="none"/>
          <w:lang w:val="en-US" w:eastAsia="zh-CN"/>
          <w14:textFill>
            <w14:solidFill>
              <w14:schemeClr w14:val="tx1"/>
            </w14:solidFill>
          </w14:textFill>
        </w:rPr>
        <w:t xml:space="preserve">3.1月度全面巡检覆盖率100%，并提交签字确认的巡检报告；  </w:t>
      </w:r>
    </w:p>
    <w:p w14:paraId="2C4DC80B">
      <w:pPr>
        <w:widowControl w:val="0"/>
        <w:spacing w:after="0" w:line="360" w:lineRule="auto"/>
        <w:ind w:firstLine="440" w:firstLineChars="200"/>
        <w:jc w:val="both"/>
        <w:rPr>
          <w:rFonts w:hint="eastAsia" w:ascii="宋体" w:hAnsi="宋体" w:eastAsia="宋体" w:cs="Times New Roman"/>
          <w:b w:val="0"/>
          <w:bCs w:val="0"/>
          <w:color w:val="000000" w:themeColor="text1"/>
          <w:kern w:val="2"/>
          <w:sz w:val="22"/>
          <w:szCs w:val="22"/>
          <w:highlight w:val="none"/>
          <w:lang w:val="en-US" w:eastAsia="zh-CN"/>
          <w14:textFill>
            <w14:solidFill>
              <w14:schemeClr w14:val="tx1"/>
            </w14:solidFill>
          </w14:textFill>
        </w:rPr>
      </w:pPr>
      <w:r>
        <w:rPr>
          <w:rFonts w:hint="eastAsia" w:ascii="宋体" w:hAnsi="宋体" w:eastAsia="宋体" w:cs="Times New Roman"/>
          <w:b w:val="0"/>
          <w:bCs w:val="0"/>
          <w:color w:val="000000" w:themeColor="text1"/>
          <w:kern w:val="2"/>
          <w:sz w:val="22"/>
          <w:szCs w:val="22"/>
          <w:highlight w:val="none"/>
          <w:lang w:val="en-US" w:eastAsia="zh-CN"/>
          <w14:textFill>
            <w14:solidFill>
              <w14:schemeClr w14:val="tx1"/>
            </w14:solidFill>
          </w14:textFill>
        </w:rPr>
        <w:t xml:space="preserve">3.2季度进行系统功能测试（如联动报警、水泵启停等）；  </w:t>
      </w:r>
    </w:p>
    <w:p w14:paraId="41E84D6E">
      <w:pPr>
        <w:widowControl w:val="0"/>
        <w:spacing w:after="0" w:line="360" w:lineRule="auto"/>
        <w:ind w:firstLine="440" w:firstLineChars="200"/>
        <w:jc w:val="both"/>
        <w:rPr>
          <w:rFonts w:hint="eastAsia" w:ascii="宋体" w:hAnsi="宋体" w:eastAsia="宋体" w:cs="Times New Roman"/>
          <w:b w:val="0"/>
          <w:bCs w:val="0"/>
          <w:color w:val="000000" w:themeColor="text1"/>
          <w:kern w:val="2"/>
          <w:sz w:val="22"/>
          <w:szCs w:val="22"/>
          <w:highlight w:val="none"/>
          <w:lang w:val="en-US" w:eastAsia="zh-CN"/>
          <w14:textFill>
            <w14:solidFill>
              <w14:schemeClr w14:val="tx1"/>
            </w14:solidFill>
          </w14:textFill>
        </w:rPr>
      </w:pPr>
      <w:r>
        <w:rPr>
          <w:rFonts w:hint="eastAsia" w:ascii="宋体" w:hAnsi="宋体" w:eastAsia="宋体" w:cs="Times New Roman"/>
          <w:b w:val="0"/>
          <w:bCs w:val="0"/>
          <w:color w:val="000000" w:themeColor="text1"/>
          <w:kern w:val="2"/>
          <w:sz w:val="22"/>
          <w:szCs w:val="22"/>
          <w:highlight w:val="none"/>
          <w:lang w:val="en-US" w:eastAsia="zh-CN"/>
          <w14:textFill>
            <w14:solidFill>
              <w14:schemeClr w14:val="tx1"/>
            </w14:solidFill>
          </w14:textFill>
        </w:rPr>
        <w:t xml:space="preserve">3.3年度进行全面检测，出具符合消防部门要求的年度检测报告；  </w:t>
      </w:r>
    </w:p>
    <w:p w14:paraId="6F01244A">
      <w:pPr>
        <w:widowControl w:val="0"/>
        <w:spacing w:after="0" w:line="360" w:lineRule="auto"/>
        <w:ind w:firstLine="440" w:firstLineChars="200"/>
        <w:jc w:val="both"/>
        <w:rPr>
          <w:rFonts w:hint="eastAsia" w:ascii="宋体" w:hAnsi="宋体" w:eastAsia="宋体" w:cs="Times New Roman"/>
          <w:b w:val="0"/>
          <w:bCs w:val="0"/>
          <w:color w:val="000000" w:themeColor="text1"/>
          <w:kern w:val="2"/>
          <w:sz w:val="22"/>
          <w:szCs w:val="22"/>
          <w:highlight w:val="none"/>
          <w:lang w:val="en-US" w:eastAsia="zh-CN"/>
          <w14:textFill>
            <w14:solidFill>
              <w14:schemeClr w14:val="tx1"/>
            </w14:solidFill>
          </w14:textFill>
        </w:rPr>
      </w:pPr>
      <w:r>
        <w:rPr>
          <w:rFonts w:hint="eastAsia" w:ascii="宋体" w:hAnsi="宋体" w:eastAsia="宋体" w:cs="Times New Roman"/>
          <w:b w:val="0"/>
          <w:bCs w:val="0"/>
          <w:color w:val="000000" w:themeColor="text1"/>
          <w:kern w:val="2"/>
          <w:sz w:val="22"/>
          <w:szCs w:val="22"/>
          <w:highlight w:val="none"/>
          <w:lang w:val="en-US" w:eastAsia="zh-CN"/>
          <w14:textFill>
            <w14:solidFill>
              <w14:schemeClr w14:val="tx1"/>
            </w14:solidFill>
          </w14:textFill>
        </w:rPr>
        <w:t xml:space="preserve">3.4档案管理：建立完整电子+纸质维保档案，实时更新设备状态、维修记录、更换配件清单。  </w:t>
      </w:r>
    </w:p>
    <w:p w14:paraId="7163C29E">
      <w:pPr>
        <w:widowControl w:val="0"/>
        <w:spacing w:after="0" w:line="360" w:lineRule="auto"/>
        <w:ind w:firstLine="440" w:firstLineChars="200"/>
        <w:jc w:val="both"/>
        <w:rPr>
          <w:rFonts w:hint="eastAsia" w:ascii="宋体" w:hAnsi="宋体" w:eastAsia="宋体" w:cs="Times New Roman"/>
          <w:b w:val="0"/>
          <w:bCs w:val="0"/>
          <w:color w:val="000000" w:themeColor="text1"/>
          <w:kern w:val="2"/>
          <w:sz w:val="22"/>
          <w:szCs w:val="22"/>
          <w:highlight w:val="none"/>
          <w:lang w:val="en-US" w:eastAsia="zh-CN"/>
          <w14:textFill>
            <w14:solidFill>
              <w14:schemeClr w14:val="tx1"/>
            </w14:solidFill>
          </w14:textFill>
        </w:rPr>
      </w:pPr>
      <w:r>
        <w:rPr>
          <w:rFonts w:hint="eastAsia" w:ascii="宋体" w:hAnsi="宋体" w:eastAsia="宋体" w:cs="Times New Roman"/>
          <w:b w:val="0"/>
          <w:bCs w:val="0"/>
          <w:color w:val="000000" w:themeColor="text1"/>
          <w:kern w:val="2"/>
          <w:sz w:val="22"/>
          <w:szCs w:val="22"/>
          <w:highlight w:val="none"/>
          <w:lang w:val="en-US" w:eastAsia="zh-CN"/>
          <w14:textFill>
            <w14:solidFill>
              <w14:schemeClr w14:val="tx1"/>
            </w14:solidFill>
          </w14:textFill>
        </w:rPr>
        <w:t xml:space="preserve">4. 人员要求：  </w:t>
      </w:r>
    </w:p>
    <w:p w14:paraId="65972B2D">
      <w:pPr>
        <w:widowControl w:val="0"/>
        <w:spacing w:after="0" w:line="360" w:lineRule="auto"/>
        <w:ind w:firstLine="440" w:firstLineChars="200"/>
        <w:jc w:val="both"/>
        <w:rPr>
          <w:rFonts w:hint="eastAsia" w:ascii="宋体" w:hAnsi="宋体" w:eastAsia="宋体" w:cs="Times New Roman"/>
          <w:b w:val="0"/>
          <w:bCs w:val="0"/>
          <w:color w:val="000000" w:themeColor="text1"/>
          <w:kern w:val="2"/>
          <w:sz w:val="22"/>
          <w:szCs w:val="22"/>
          <w:highlight w:val="none"/>
          <w:lang w:val="en-US" w:eastAsia="zh-CN"/>
          <w14:textFill>
            <w14:solidFill>
              <w14:schemeClr w14:val="tx1"/>
            </w14:solidFill>
          </w14:textFill>
        </w:rPr>
      </w:pPr>
      <w:r>
        <w:rPr>
          <w:rFonts w:hint="eastAsia" w:ascii="宋体" w:hAnsi="宋体" w:eastAsia="宋体" w:cs="Times New Roman"/>
          <w:b w:val="0"/>
          <w:bCs w:val="0"/>
          <w:color w:val="000000" w:themeColor="text1"/>
          <w:kern w:val="2"/>
          <w:sz w:val="22"/>
          <w:szCs w:val="22"/>
          <w:highlight w:val="none"/>
          <w:lang w:val="en-US" w:eastAsia="zh-CN"/>
          <w14:textFill>
            <w14:solidFill>
              <w14:schemeClr w14:val="tx1"/>
            </w14:solidFill>
          </w14:textFill>
        </w:rPr>
        <w:t xml:space="preserve">4.1派驻（高级技师）专职人员常驻校区；  </w:t>
      </w:r>
    </w:p>
    <w:p w14:paraId="3B8C7DAF">
      <w:pPr>
        <w:widowControl w:val="0"/>
        <w:spacing w:after="0" w:line="360" w:lineRule="auto"/>
        <w:ind w:firstLine="440" w:firstLineChars="200"/>
        <w:jc w:val="both"/>
        <w:rPr>
          <w:rFonts w:hint="eastAsia" w:ascii="宋体" w:hAnsi="宋体" w:eastAsia="宋体" w:cs="Times New Roman"/>
          <w:b w:val="0"/>
          <w:bCs w:val="0"/>
          <w:color w:val="000000" w:themeColor="text1"/>
          <w:kern w:val="2"/>
          <w:sz w:val="22"/>
          <w:szCs w:val="22"/>
          <w:highlight w:val="none"/>
          <w:lang w:val="en-US" w:eastAsia="zh-CN"/>
          <w14:textFill>
            <w14:solidFill>
              <w14:schemeClr w14:val="tx1"/>
            </w14:solidFill>
          </w14:textFill>
        </w:rPr>
      </w:pPr>
      <w:r>
        <w:rPr>
          <w:rFonts w:hint="eastAsia" w:ascii="宋体" w:hAnsi="宋体" w:eastAsia="宋体" w:cs="Times New Roman"/>
          <w:b w:val="0"/>
          <w:bCs w:val="0"/>
          <w:color w:val="000000" w:themeColor="text1"/>
          <w:kern w:val="2"/>
          <w:sz w:val="22"/>
          <w:szCs w:val="22"/>
          <w:highlight w:val="none"/>
          <w:lang w:val="en-US" w:eastAsia="zh-CN"/>
          <w14:textFill>
            <w14:solidFill>
              <w14:schemeClr w14:val="tx1"/>
            </w14:solidFill>
          </w14:textFill>
        </w:rPr>
        <w:t xml:space="preserve">4.2定期开展校内消防管理人员技术培训，每年≥2次。  </w:t>
      </w:r>
    </w:p>
    <w:p w14:paraId="113CDD57">
      <w:pPr>
        <w:widowControl w:val="0"/>
        <w:spacing w:after="0" w:line="360" w:lineRule="auto"/>
        <w:ind w:firstLine="440" w:firstLineChars="200"/>
        <w:jc w:val="both"/>
        <w:rPr>
          <w:rFonts w:hint="eastAsia" w:ascii="宋体" w:hAnsi="宋体" w:eastAsia="宋体" w:cs="Times New Roman"/>
          <w:b w:val="0"/>
          <w:bCs w:val="0"/>
          <w:color w:val="000000" w:themeColor="text1"/>
          <w:kern w:val="2"/>
          <w:sz w:val="22"/>
          <w:szCs w:val="22"/>
          <w:highlight w:val="none"/>
          <w:lang w:val="en-US" w:eastAsia="zh-CN"/>
          <w14:textFill>
            <w14:solidFill>
              <w14:schemeClr w14:val="tx1"/>
            </w14:solidFill>
          </w14:textFill>
        </w:rPr>
      </w:pPr>
      <w:r>
        <w:rPr>
          <w:rFonts w:hint="eastAsia" w:ascii="宋体" w:hAnsi="宋体" w:eastAsia="宋体" w:cs="Times New Roman"/>
          <w:b w:val="0"/>
          <w:bCs w:val="0"/>
          <w:color w:val="000000" w:themeColor="text1"/>
          <w:kern w:val="2"/>
          <w:sz w:val="22"/>
          <w:szCs w:val="22"/>
          <w:highlight w:val="none"/>
          <w:lang w:val="en-US" w:eastAsia="zh-CN"/>
          <w14:textFill>
            <w14:solidFill>
              <w14:schemeClr w14:val="tx1"/>
            </w14:solidFill>
          </w14:textFill>
        </w:rPr>
        <w:t xml:space="preserve">二、服务质量不达标的认定情形  </w:t>
      </w:r>
    </w:p>
    <w:p w14:paraId="0D3B1C03">
      <w:pPr>
        <w:widowControl w:val="0"/>
        <w:spacing w:after="0" w:line="360" w:lineRule="auto"/>
        <w:ind w:firstLine="440" w:firstLineChars="200"/>
        <w:jc w:val="both"/>
        <w:rPr>
          <w:rFonts w:hint="eastAsia" w:ascii="宋体" w:hAnsi="宋体" w:eastAsia="宋体" w:cs="Times New Roman"/>
          <w:b w:val="0"/>
          <w:bCs w:val="0"/>
          <w:color w:val="000000" w:themeColor="text1"/>
          <w:kern w:val="2"/>
          <w:sz w:val="22"/>
          <w:szCs w:val="22"/>
          <w:highlight w:val="none"/>
          <w:lang w:val="en-US" w:eastAsia="zh-CN"/>
          <w14:textFill>
            <w14:solidFill>
              <w14:schemeClr w14:val="tx1"/>
            </w14:solidFill>
          </w14:textFill>
        </w:rPr>
      </w:pPr>
      <w:r>
        <w:rPr>
          <w:rFonts w:hint="eastAsia" w:ascii="宋体" w:hAnsi="宋体" w:eastAsia="宋体" w:cs="Times New Roman"/>
          <w:b w:val="0"/>
          <w:bCs w:val="0"/>
          <w:color w:val="000000" w:themeColor="text1"/>
          <w:kern w:val="2"/>
          <w:sz w:val="22"/>
          <w:szCs w:val="22"/>
          <w:highlight w:val="none"/>
          <w:lang w:val="en-US" w:eastAsia="zh-CN"/>
          <w14:textFill>
            <w14:solidFill>
              <w14:schemeClr w14:val="tx1"/>
            </w14:solidFill>
          </w14:textFill>
        </w:rPr>
        <w:t xml:space="preserve">出现以下任一情况视为违约：  </w:t>
      </w:r>
    </w:p>
    <w:p w14:paraId="75D58C39">
      <w:pPr>
        <w:widowControl w:val="0"/>
        <w:spacing w:after="0" w:line="360" w:lineRule="auto"/>
        <w:ind w:firstLine="440" w:firstLineChars="200"/>
        <w:jc w:val="both"/>
        <w:rPr>
          <w:rFonts w:hint="eastAsia" w:ascii="宋体" w:hAnsi="宋体" w:eastAsia="宋体" w:cs="Times New Roman"/>
          <w:b w:val="0"/>
          <w:bCs w:val="0"/>
          <w:color w:val="000000" w:themeColor="text1"/>
          <w:kern w:val="2"/>
          <w:sz w:val="22"/>
          <w:szCs w:val="22"/>
          <w:highlight w:val="none"/>
          <w:lang w:val="en-US" w:eastAsia="zh-CN"/>
          <w14:textFill>
            <w14:solidFill>
              <w14:schemeClr w14:val="tx1"/>
            </w14:solidFill>
          </w14:textFill>
        </w:rPr>
      </w:pPr>
      <w:r>
        <w:rPr>
          <w:rFonts w:hint="eastAsia" w:ascii="宋体" w:hAnsi="宋体" w:eastAsia="宋体" w:cs="Times New Roman"/>
          <w:b w:val="0"/>
          <w:bCs w:val="0"/>
          <w:color w:val="000000" w:themeColor="text1"/>
          <w:kern w:val="2"/>
          <w:sz w:val="22"/>
          <w:szCs w:val="22"/>
          <w:highlight w:val="none"/>
          <w:lang w:val="en-US" w:eastAsia="zh-CN"/>
          <w14:textFill>
            <w14:solidFill>
              <w14:schemeClr w14:val="tx1"/>
            </w14:solidFill>
          </w14:textFill>
        </w:rPr>
        <w:t xml:space="preserve">1.未履行合同义务：  </w:t>
      </w:r>
    </w:p>
    <w:p w14:paraId="60EE5CC5">
      <w:pPr>
        <w:widowControl w:val="0"/>
        <w:spacing w:after="0" w:line="360" w:lineRule="auto"/>
        <w:ind w:firstLine="440" w:firstLineChars="200"/>
        <w:jc w:val="both"/>
        <w:rPr>
          <w:rFonts w:hint="eastAsia" w:ascii="宋体" w:hAnsi="宋体" w:eastAsia="宋体" w:cs="Times New Roman"/>
          <w:b w:val="0"/>
          <w:bCs w:val="0"/>
          <w:color w:val="000000" w:themeColor="text1"/>
          <w:kern w:val="2"/>
          <w:sz w:val="22"/>
          <w:szCs w:val="22"/>
          <w:highlight w:val="none"/>
          <w:lang w:val="en-US" w:eastAsia="zh-CN"/>
          <w14:textFill>
            <w14:solidFill>
              <w14:schemeClr w14:val="tx1"/>
            </w14:solidFill>
          </w14:textFill>
        </w:rPr>
      </w:pPr>
      <w:r>
        <w:rPr>
          <w:rFonts w:hint="eastAsia" w:ascii="宋体" w:hAnsi="宋体" w:eastAsia="宋体" w:cs="Times New Roman"/>
          <w:b w:val="0"/>
          <w:bCs w:val="0"/>
          <w:color w:val="000000" w:themeColor="text1"/>
          <w:kern w:val="2"/>
          <w:sz w:val="22"/>
          <w:szCs w:val="22"/>
          <w:highlight w:val="none"/>
          <w:lang w:val="en-US" w:eastAsia="zh-CN"/>
          <w14:textFill>
            <w14:solidFill>
              <w14:schemeClr w14:val="tx1"/>
            </w14:solidFill>
          </w14:textFill>
        </w:rPr>
        <w:t xml:space="preserve">1.1未按频次完成月度/季度/年度维护；  </w:t>
      </w:r>
    </w:p>
    <w:p w14:paraId="53755B02">
      <w:pPr>
        <w:widowControl w:val="0"/>
        <w:spacing w:after="0" w:line="360" w:lineRule="auto"/>
        <w:ind w:firstLine="440" w:firstLineChars="200"/>
        <w:jc w:val="both"/>
        <w:rPr>
          <w:rFonts w:hint="eastAsia" w:ascii="宋体" w:hAnsi="宋体" w:eastAsia="宋体" w:cs="Times New Roman"/>
          <w:b w:val="0"/>
          <w:bCs w:val="0"/>
          <w:color w:val="000000" w:themeColor="text1"/>
          <w:kern w:val="2"/>
          <w:sz w:val="22"/>
          <w:szCs w:val="22"/>
          <w:highlight w:val="none"/>
          <w:lang w:val="en-US" w:eastAsia="zh-CN"/>
          <w14:textFill>
            <w14:solidFill>
              <w14:schemeClr w14:val="tx1"/>
            </w14:solidFill>
          </w14:textFill>
        </w:rPr>
      </w:pPr>
      <w:r>
        <w:rPr>
          <w:rFonts w:hint="eastAsia" w:ascii="宋体" w:hAnsi="宋体" w:eastAsia="宋体" w:cs="Times New Roman"/>
          <w:b w:val="0"/>
          <w:bCs w:val="0"/>
          <w:color w:val="000000" w:themeColor="text1"/>
          <w:kern w:val="2"/>
          <w:sz w:val="22"/>
          <w:szCs w:val="22"/>
          <w:highlight w:val="none"/>
          <w:lang w:val="en-US" w:eastAsia="zh-CN"/>
          <w14:textFill>
            <w14:solidFill>
              <w14:schemeClr w14:val="tx1"/>
            </w14:solidFill>
          </w14:textFill>
        </w:rPr>
        <w:t xml:space="preserve">1.2巡检报告造假或漏检关键设备；  </w:t>
      </w:r>
    </w:p>
    <w:p w14:paraId="64BE94B3">
      <w:pPr>
        <w:widowControl w:val="0"/>
        <w:spacing w:after="0" w:line="360" w:lineRule="auto"/>
        <w:ind w:firstLine="440" w:firstLineChars="200"/>
        <w:jc w:val="both"/>
        <w:rPr>
          <w:rFonts w:hint="eastAsia" w:ascii="宋体" w:hAnsi="宋体" w:eastAsia="宋体" w:cs="Times New Roman"/>
          <w:b w:val="0"/>
          <w:bCs w:val="0"/>
          <w:color w:val="000000" w:themeColor="text1"/>
          <w:kern w:val="2"/>
          <w:sz w:val="22"/>
          <w:szCs w:val="22"/>
          <w:highlight w:val="none"/>
          <w:lang w:val="en-US" w:eastAsia="zh-CN"/>
          <w14:textFill>
            <w14:solidFill>
              <w14:schemeClr w14:val="tx1"/>
            </w14:solidFill>
          </w14:textFill>
        </w:rPr>
      </w:pPr>
      <w:r>
        <w:rPr>
          <w:rFonts w:hint="eastAsia" w:ascii="宋体" w:hAnsi="宋体" w:eastAsia="宋体" w:cs="Times New Roman"/>
          <w:b w:val="0"/>
          <w:bCs w:val="0"/>
          <w:color w:val="000000" w:themeColor="text1"/>
          <w:kern w:val="2"/>
          <w:sz w:val="22"/>
          <w:szCs w:val="22"/>
          <w:highlight w:val="none"/>
          <w:lang w:val="en-US" w:eastAsia="zh-CN"/>
          <w14:textFill>
            <w14:solidFill>
              <w14:schemeClr w14:val="tx1"/>
            </w14:solidFill>
          </w14:textFill>
        </w:rPr>
        <w:t xml:space="preserve">1.3未建立合规维保档案。  </w:t>
      </w:r>
    </w:p>
    <w:p w14:paraId="3FDA77CB">
      <w:pPr>
        <w:widowControl w:val="0"/>
        <w:spacing w:after="0" w:line="360" w:lineRule="auto"/>
        <w:ind w:firstLine="440" w:firstLineChars="200"/>
        <w:jc w:val="both"/>
        <w:rPr>
          <w:rFonts w:hint="eastAsia" w:ascii="宋体" w:hAnsi="宋体" w:eastAsia="宋体" w:cs="Times New Roman"/>
          <w:b w:val="0"/>
          <w:bCs w:val="0"/>
          <w:color w:val="000000" w:themeColor="text1"/>
          <w:kern w:val="2"/>
          <w:sz w:val="22"/>
          <w:szCs w:val="22"/>
          <w:highlight w:val="none"/>
          <w:lang w:val="en-US" w:eastAsia="zh-CN"/>
          <w14:textFill>
            <w14:solidFill>
              <w14:schemeClr w14:val="tx1"/>
            </w14:solidFill>
          </w14:textFill>
        </w:rPr>
      </w:pPr>
      <w:r>
        <w:rPr>
          <w:rFonts w:hint="eastAsia" w:ascii="宋体" w:hAnsi="宋体" w:eastAsia="宋体" w:cs="Times New Roman"/>
          <w:b w:val="0"/>
          <w:bCs w:val="0"/>
          <w:color w:val="000000" w:themeColor="text1"/>
          <w:kern w:val="2"/>
          <w:sz w:val="22"/>
          <w:szCs w:val="22"/>
          <w:highlight w:val="none"/>
          <w:lang w:val="en-US" w:eastAsia="zh-CN"/>
          <w14:textFill>
            <w14:solidFill>
              <w14:schemeClr w14:val="tx1"/>
            </w14:solidFill>
          </w14:textFill>
        </w:rPr>
        <w:t>2.响应及修复超时：</w:t>
      </w:r>
    </w:p>
    <w:p w14:paraId="64506C9C">
      <w:pPr>
        <w:widowControl w:val="0"/>
        <w:spacing w:after="0" w:line="360" w:lineRule="auto"/>
        <w:ind w:firstLine="440" w:firstLineChars="200"/>
        <w:jc w:val="both"/>
        <w:rPr>
          <w:rFonts w:hint="eastAsia" w:ascii="宋体" w:hAnsi="宋体" w:eastAsia="宋体" w:cs="Times New Roman"/>
          <w:b w:val="0"/>
          <w:bCs w:val="0"/>
          <w:color w:val="000000" w:themeColor="text1"/>
          <w:kern w:val="2"/>
          <w:sz w:val="22"/>
          <w:szCs w:val="22"/>
          <w:highlight w:val="none"/>
          <w:lang w:val="en-US" w:eastAsia="zh-CN"/>
          <w14:textFill>
            <w14:solidFill>
              <w14:schemeClr w14:val="tx1"/>
            </w14:solidFill>
          </w14:textFill>
        </w:rPr>
      </w:pPr>
      <w:r>
        <w:rPr>
          <w:rFonts w:hint="eastAsia" w:ascii="宋体" w:hAnsi="宋体" w:eastAsia="宋体" w:cs="Times New Roman"/>
          <w:b w:val="0"/>
          <w:bCs w:val="0"/>
          <w:color w:val="000000" w:themeColor="text1"/>
          <w:kern w:val="2"/>
          <w:sz w:val="22"/>
          <w:szCs w:val="22"/>
          <w:highlight w:val="none"/>
          <w:lang w:val="en-US" w:eastAsia="zh-CN"/>
          <w14:textFill>
            <w14:solidFill>
              <w14:schemeClr w14:val="tx1"/>
            </w14:solidFill>
          </w14:textFill>
        </w:rPr>
        <w:t xml:space="preserve">2.1故障响应超时≥3次/年；  </w:t>
      </w:r>
    </w:p>
    <w:p w14:paraId="05BF4F93">
      <w:pPr>
        <w:widowControl w:val="0"/>
        <w:spacing w:after="0" w:line="360" w:lineRule="auto"/>
        <w:ind w:firstLine="440" w:firstLineChars="200"/>
        <w:jc w:val="both"/>
        <w:rPr>
          <w:rFonts w:hint="eastAsia" w:ascii="宋体" w:hAnsi="宋体" w:eastAsia="宋体" w:cs="Times New Roman"/>
          <w:b w:val="0"/>
          <w:bCs w:val="0"/>
          <w:color w:val="000000" w:themeColor="text1"/>
          <w:kern w:val="2"/>
          <w:sz w:val="22"/>
          <w:szCs w:val="22"/>
          <w:highlight w:val="none"/>
          <w:lang w:val="en-US" w:eastAsia="zh-CN"/>
          <w14:textFill>
            <w14:solidFill>
              <w14:schemeClr w14:val="tx1"/>
            </w14:solidFill>
          </w14:textFill>
        </w:rPr>
      </w:pPr>
      <w:r>
        <w:rPr>
          <w:rFonts w:hint="eastAsia" w:ascii="宋体" w:hAnsi="宋体" w:eastAsia="宋体" w:cs="Times New Roman"/>
          <w:b w:val="0"/>
          <w:bCs w:val="0"/>
          <w:color w:val="000000" w:themeColor="text1"/>
          <w:kern w:val="2"/>
          <w:sz w:val="22"/>
          <w:szCs w:val="22"/>
          <w:highlight w:val="none"/>
          <w:lang w:val="en-US" w:eastAsia="zh-CN"/>
          <w14:textFill>
            <w14:solidFill>
              <w14:schemeClr w14:val="tx1"/>
            </w14:solidFill>
          </w14:textFill>
        </w:rPr>
        <w:t xml:space="preserve">2.2同一故障反复发生（≥3次）且未彻底解决。  </w:t>
      </w:r>
    </w:p>
    <w:p w14:paraId="61C1F1B5">
      <w:pPr>
        <w:widowControl w:val="0"/>
        <w:spacing w:after="0" w:line="360" w:lineRule="auto"/>
        <w:ind w:firstLine="440" w:firstLineChars="200"/>
        <w:jc w:val="both"/>
        <w:rPr>
          <w:rFonts w:hint="eastAsia" w:ascii="宋体" w:hAnsi="宋体" w:eastAsia="宋体" w:cs="Times New Roman"/>
          <w:b w:val="0"/>
          <w:bCs w:val="0"/>
          <w:color w:val="000000" w:themeColor="text1"/>
          <w:kern w:val="2"/>
          <w:sz w:val="22"/>
          <w:szCs w:val="22"/>
          <w:highlight w:val="none"/>
          <w:lang w:val="en-US" w:eastAsia="zh-CN"/>
          <w14:textFill>
            <w14:solidFill>
              <w14:schemeClr w14:val="tx1"/>
            </w14:solidFill>
          </w14:textFill>
        </w:rPr>
      </w:pPr>
      <w:r>
        <w:rPr>
          <w:rFonts w:hint="eastAsia" w:ascii="宋体" w:hAnsi="宋体" w:eastAsia="宋体" w:cs="Times New Roman"/>
          <w:b w:val="0"/>
          <w:bCs w:val="0"/>
          <w:color w:val="000000" w:themeColor="text1"/>
          <w:kern w:val="2"/>
          <w:sz w:val="22"/>
          <w:szCs w:val="22"/>
          <w:highlight w:val="none"/>
          <w:lang w:val="en-US" w:eastAsia="zh-CN"/>
          <w14:textFill>
            <w14:solidFill>
              <w14:schemeClr w14:val="tx1"/>
            </w14:solidFill>
          </w14:textFill>
        </w:rPr>
        <w:t xml:space="preserve">3.设施功能失效：  </w:t>
      </w:r>
    </w:p>
    <w:p w14:paraId="41DB48E5">
      <w:pPr>
        <w:widowControl w:val="0"/>
        <w:spacing w:after="0" w:line="360" w:lineRule="auto"/>
        <w:ind w:firstLine="440" w:firstLineChars="200"/>
        <w:jc w:val="both"/>
        <w:rPr>
          <w:rFonts w:hint="eastAsia" w:ascii="宋体" w:hAnsi="宋体" w:eastAsia="宋体" w:cs="Times New Roman"/>
          <w:b w:val="0"/>
          <w:bCs w:val="0"/>
          <w:color w:val="000000" w:themeColor="text1"/>
          <w:kern w:val="2"/>
          <w:sz w:val="22"/>
          <w:szCs w:val="22"/>
          <w:highlight w:val="none"/>
          <w:lang w:val="en-US" w:eastAsia="zh-CN"/>
          <w14:textFill>
            <w14:solidFill>
              <w14:schemeClr w14:val="tx1"/>
            </w14:solidFill>
          </w14:textFill>
        </w:rPr>
      </w:pPr>
      <w:r>
        <w:rPr>
          <w:rFonts w:hint="eastAsia" w:ascii="宋体" w:hAnsi="宋体" w:eastAsia="宋体" w:cs="Times New Roman"/>
          <w:b w:val="0"/>
          <w:bCs w:val="0"/>
          <w:color w:val="000000" w:themeColor="text1"/>
          <w:kern w:val="2"/>
          <w:sz w:val="22"/>
          <w:szCs w:val="22"/>
          <w:highlight w:val="none"/>
          <w:lang w:val="en-US" w:eastAsia="zh-CN"/>
          <w14:textFill>
            <w14:solidFill>
              <w14:schemeClr w14:val="tx1"/>
            </w14:solidFill>
          </w14:textFill>
        </w:rPr>
        <w:t xml:space="preserve">3.1维保期内因维护不当导致消防系统在应急状态下失效；  </w:t>
      </w:r>
    </w:p>
    <w:p w14:paraId="53A4F26B">
      <w:pPr>
        <w:widowControl w:val="0"/>
        <w:spacing w:after="0" w:line="360" w:lineRule="auto"/>
        <w:ind w:firstLine="440" w:firstLineChars="200"/>
        <w:jc w:val="both"/>
        <w:rPr>
          <w:rFonts w:hint="eastAsia" w:ascii="宋体" w:hAnsi="宋体" w:eastAsia="宋体" w:cs="Times New Roman"/>
          <w:b w:val="0"/>
          <w:bCs w:val="0"/>
          <w:color w:val="000000" w:themeColor="text1"/>
          <w:kern w:val="2"/>
          <w:sz w:val="22"/>
          <w:szCs w:val="22"/>
          <w:highlight w:val="none"/>
          <w:lang w:val="en-US" w:eastAsia="zh-CN"/>
          <w14:textFill>
            <w14:solidFill>
              <w14:schemeClr w14:val="tx1"/>
            </w14:solidFill>
          </w14:textFill>
        </w:rPr>
      </w:pPr>
      <w:r>
        <w:rPr>
          <w:rFonts w:hint="eastAsia" w:ascii="宋体" w:hAnsi="宋体" w:eastAsia="宋体" w:cs="Times New Roman"/>
          <w:b w:val="0"/>
          <w:bCs w:val="0"/>
          <w:color w:val="000000" w:themeColor="text1"/>
          <w:kern w:val="2"/>
          <w:sz w:val="22"/>
          <w:szCs w:val="22"/>
          <w:highlight w:val="none"/>
          <w:lang w:val="en-US" w:eastAsia="zh-CN"/>
          <w14:textFill>
            <w14:solidFill>
              <w14:schemeClr w14:val="tx1"/>
            </w14:solidFill>
          </w14:textFill>
        </w:rPr>
        <w:t xml:space="preserve">3.2消防部门检查中发现重大安全隐患并出具整改通知。  </w:t>
      </w:r>
    </w:p>
    <w:p w14:paraId="5C292759">
      <w:pPr>
        <w:widowControl w:val="0"/>
        <w:spacing w:after="0" w:line="360" w:lineRule="auto"/>
        <w:ind w:firstLine="440" w:firstLineChars="200"/>
        <w:jc w:val="both"/>
        <w:rPr>
          <w:rFonts w:hint="eastAsia" w:ascii="宋体" w:hAnsi="宋体" w:eastAsia="宋体" w:cs="Times New Roman"/>
          <w:b w:val="0"/>
          <w:bCs w:val="0"/>
          <w:color w:val="000000" w:themeColor="text1"/>
          <w:kern w:val="2"/>
          <w:sz w:val="22"/>
          <w:szCs w:val="22"/>
          <w:highlight w:val="none"/>
          <w:lang w:val="en-US" w:eastAsia="zh-CN"/>
          <w14:textFill>
            <w14:solidFill>
              <w14:schemeClr w14:val="tx1"/>
            </w14:solidFill>
          </w14:textFill>
        </w:rPr>
      </w:pPr>
      <w:r>
        <w:rPr>
          <w:rFonts w:hint="eastAsia" w:ascii="宋体" w:hAnsi="宋体" w:eastAsia="宋体" w:cs="Times New Roman"/>
          <w:b w:val="0"/>
          <w:bCs w:val="0"/>
          <w:color w:val="000000" w:themeColor="text1"/>
          <w:kern w:val="2"/>
          <w:sz w:val="22"/>
          <w:szCs w:val="22"/>
          <w:highlight w:val="none"/>
          <w:lang w:val="en-US" w:eastAsia="zh-CN"/>
          <w14:textFill>
            <w14:solidFill>
              <w14:schemeClr w14:val="tx1"/>
            </w14:solidFill>
          </w14:textFill>
        </w:rPr>
        <w:t xml:space="preserve">三、违约责任与处罚措施 </w:t>
      </w:r>
    </w:p>
    <w:p w14:paraId="6C8BED0C">
      <w:pPr>
        <w:widowControl w:val="0"/>
        <w:spacing w:after="0" w:line="360" w:lineRule="auto"/>
        <w:ind w:firstLine="440" w:firstLineChars="200"/>
        <w:jc w:val="both"/>
        <w:rPr>
          <w:rFonts w:hint="eastAsia" w:ascii="宋体" w:hAnsi="宋体" w:eastAsia="宋体" w:cs="Times New Roman"/>
          <w:b w:val="0"/>
          <w:bCs w:val="0"/>
          <w:color w:val="000000" w:themeColor="text1"/>
          <w:kern w:val="2"/>
          <w:sz w:val="22"/>
          <w:szCs w:val="22"/>
          <w:highlight w:val="none"/>
          <w:lang w:val="en-US" w:eastAsia="zh-CN"/>
          <w14:textFill>
            <w14:solidFill>
              <w14:schemeClr w14:val="tx1"/>
            </w14:solidFill>
          </w14:textFill>
        </w:rPr>
      </w:pPr>
      <w:r>
        <w:rPr>
          <w:rFonts w:hint="eastAsia" w:ascii="宋体" w:hAnsi="宋体" w:eastAsia="宋体" w:cs="Times New Roman"/>
          <w:b w:val="0"/>
          <w:bCs w:val="0"/>
          <w:color w:val="000000" w:themeColor="text1"/>
          <w:kern w:val="2"/>
          <w:sz w:val="22"/>
          <w:szCs w:val="22"/>
          <w:highlight w:val="none"/>
          <w:lang w:val="en-US" w:eastAsia="zh-CN"/>
          <w14:textFill>
            <w14:solidFill>
              <w14:schemeClr w14:val="tx1"/>
            </w14:solidFill>
          </w14:textFill>
        </w:rPr>
        <w:t>1.一般违约：设备设施维修维护、档案管理达不到要求、人员能力不足，不服从管理等，限期2日内整改，逾期未改按合同总额0.5%/日扣违约金；</w:t>
      </w:r>
    </w:p>
    <w:p w14:paraId="526977D1">
      <w:pPr>
        <w:widowControl w:val="0"/>
        <w:spacing w:after="0" w:line="360" w:lineRule="auto"/>
        <w:ind w:firstLine="440" w:firstLineChars="200"/>
        <w:jc w:val="both"/>
        <w:rPr>
          <w:rFonts w:hint="eastAsia" w:ascii="宋体" w:hAnsi="宋体" w:eastAsia="宋体" w:cs="Times New Roman"/>
          <w:b w:val="0"/>
          <w:bCs w:val="0"/>
          <w:color w:val="000000" w:themeColor="text1"/>
          <w:kern w:val="2"/>
          <w:sz w:val="22"/>
          <w:szCs w:val="22"/>
          <w:highlight w:val="none"/>
          <w:lang w:val="en-US" w:eastAsia="zh-CN"/>
          <w14:textFill>
            <w14:solidFill>
              <w14:schemeClr w14:val="tx1"/>
            </w14:solidFill>
          </w14:textFill>
        </w:rPr>
      </w:pPr>
      <w:r>
        <w:rPr>
          <w:rFonts w:hint="eastAsia" w:ascii="宋体" w:hAnsi="宋体" w:eastAsia="宋体" w:cs="Times New Roman"/>
          <w:b w:val="0"/>
          <w:bCs w:val="0"/>
          <w:color w:val="000000" w:themeColor="text1"/>
          <w:kern w:val="2"/>
          <w:sz w:val="22"/>
          <w:szCs w:val="22"/>
          <w:highlight w:val="none"/>
          <w:lang w:val="en-US" w:eastAsia="zh-CN"/>
          <w14:textFill>
            <w14:solidFill>
              <w14:schemeClr w14:val="tx1"/>
            </w14:solidFill>
          </w14:textFill>
        </w:rPr>
        <w:t>2.严重违约：关键设备漏检，重大故障未修复，扣除当月消防维保费用10-30%；列入校内供应商失信记录；</w:t>
      </w:r>
    </w:p>
    <w:p w14:paraId="13F21596">
      <w:pPr>
        <w:widowControl w:val="0"/>
        <w:spacing w:after="0" w:line="360" w:lineRule="auto"/>
        <w:ind w:firstLine="440" w:firstLineChars="200"/>
        <w:jc w:val="both"/>
        <w:rPr>
          <w:rFonts w:hint="eastAsia" w:ascii="宋体" w:hAnsi="宋体" w:eastAsia="宋体" w:cs="Times New Roman"/>
          <w:b w:val="0"/>
          <w:bCs w:val="0"/>
          <w:color w:val="000000" w:themeColor="text1"/>
          <w:kern w:val="2"/>
          <w:sz w:val="22"/>
          <w:szCs w:val="22"/>
          <w:highlight w:val="none"/>
          <w:lang w:val="en-US" w:eastAsia="zh-CN"/>
          <w14:textFill>
            <w14:solidFill>
              <w14:schemeClr w14:val="tx1"/>
            </w14:solidFill>
          </w14:textFill>
        </w:rPr>
      </w:pPr>
      <w:r>
        <w:rPr>
          <w:rFonts w:hint="eastAsia" w:ascii="宋体" w:hAnsi="宋体" w:eastAsia="宋体" w:cs="Times New Roman"/>
          <w:b w:val="0"/>
          <w:bCs w:val="0"/>
          <w:color w:val="000000" w:themeColor="text1"/>
          <w:kern w:val="2"/>
          <w:sz w:val="22"/>
          <w:szCs w:val="22"/>
          <w:highlight w:val="none"/>
          <w:lang w:val="en-US" w:eastAsia="zh-CN"/>
          <w14:textFill>
            <w14:solidFill>
              <w14:schemeClr w14:val="tx1"/>
            </w14:solidFill>
          </w14:textFill>
        </w:rPr>
        <w:t>3.重大安全违约：导致系统瘫痪、引发事故；终止合同并扣除履约保证金；追偿因此产生的全部损失；3年内禁止参与本校招标 ；</w:t>
      </w:r>
    </w:p>
    <w:p w14:paraId="2F792A02">
      <w:pPr>
        <w:widowControl w:val="0"/>
        <w:spacing w:after="0" w:line="360" w:lineRule="auto"/>
        <w:ind w:firstLine="440" w:firstLineChars="200"/>
        <w:jc w:val="both"/>
        <w:rPr>
          <w:rFonts w:hint="eastAsia" w:ascii="宋体" w:hAnsi="宋体" w:eastAsia="宋体" w:cs="Times New Roman"/>
          <w:b w:val="0"/>
          <w:bCs w:val="0"/>
          <w:color w:val="000000" w:themeColor="text1"/>
          <w:kern w:val="2"/>
          <w:sz w:val="22"/>
          <w:szCs w:val="22"/>
          <w:highlight w:val="none"/>
          <w:lang w:val="en-US" w:eastAsia="zh-CN"/>
          <w14:textFill>
            <w14:solidFill>
              <w14:schemeClr w14:val="tx1"/>
            </w14:solidFill>
          </w14:textFill>
        </w:rPr>
      </w:pPr>
      <w:r>
        <w:rPr>
          <w:rFonts w:hint="eastAsia" w:ascii="宋体" w:hAnsi="宋体" w:eastAsia="宋体" w:cs="Times New Roman"/>
          <w:b w:val="0"/>
          <w:bCs w:val="0"/>
          <w:color w:val="000000" w:themeColor="text1"/>
          <w:kern w:val="2"/>
          <w:sz w:val="22"/>
          <w:szCs w:val="22"/>
          <w:highlight w:val="none"/>
          <w:lang w:val="en-US" w:eastAsia="zh-CN"/>
          <w14:textFill>
            <w14:solidFill>
              <w14:schemeClr w14:val="tx1"/>
            </w14:solidFill>
          </w14:textFill>
        </w:rPr>
        <w:t xml:space="preserve">四、监管与执行机制  </w:t>
      </w:r>
    </w:p>
    <w:p w14:paraId="2D197D85">
      <w:pPr>
        <w:widowControl w:val="0"/>
        <w:spacing w:after="0" w:line="360" w:lineRule="auto"/>
        <w:ind w:firstLine="440" w:firstLineChars="200"/>
        <w:jc w:val="both"/>
        <w:rPr>
          <w:rFonts w:hint="eastAsia" w:ascii="宋体" w:hAnsi="宋体" w:eastAsia="宋体" w:cs="Times New Roman"/>
          <w:b w:val="0"/>
          <w:bCs w:val="0"/>
          <w:color w:val="000000" w:themeColor="text1"/>
          <w:kern w:val="2"/>
          <w:sz w:val="22"/>
          <w:szCs w:val="22"/>
          <w:highlight w:val="none"/>
          <w:lang w:val="en-US" w:eastAsia="zh-CN"/>
          <w14:textFill>
            <w14:solidFill>
              <w14:schemeClr w14:val="tx1"/>
            </w14:solidFill>
          </w14:textFill>
        </w:rPr>
      </w:pPr>
      <w:r>
        <w:rPr>
          <w:rFonts w:hint="eastAsia" w:ascii="宋体" w:hAnsi="宋体" w:eastAsia="宋体" w:cs="Times New Roman"/>
          <w:b w:val="0"/>
          <w:bCs w:val="0"/>
          <w:color w:val="000000" w:themeColor="text1"/>
          <w:kern w:val="2"/>
          <w:sz w:val="22"/>
          <w:szCs w:val="22"/>
          <w:highlight w:val="none"/>
          <w:lang w:val="en-US" w:eastAsia="zh-CN"/>
          <w14:textFill>
            <w14:solidFill>
              <w14:schemeClr w14:val="tx1"/>
            </w14:solidFill>
          </w14:textFill>
        </w:rPr>
        <w:t xml:space="preserve">1. 学校监管：保卫科每日抽查设备状态，按月评估维保质量；  </w:t>
      </w:r>
    </w:p>
    <w:p w14:paraId="202444C0">
      <w:pPr>
        <w:widowControl w:val="0"/>
        <w:spacing w:after="0" w:line="360" w:lineRule="auto"/>
        <w:ind w:firstLine="440" w:firstLineChars="200"/>
        <w:jc w:val="both"/>
        <w:rPr>
          <w:rFonts w:hint="eastAsia" w:ascii="宋体" w:hAnsi="宋体" w:eastAsia="宋体" w:cs="Times New Roman"/>
          <w:b w:val="0"/>
          <w:bCs w:val="0"/>
          <w:color w:val="000000" w:themeColor="text1"/>
          <w:kern w:val="2"/>
          <w:sz w:val="22"/>
          <w:szCs w:val="22"/>
          <w:highlight w:val="none"/>
          <w:lang w:val="en-US" w:eastAsia="zh-CN"/>
          <w14:textFill>
            <w14:solidFill>
              <w14:schemeClr w14:val="tx1"/>
            </w14:solidFill>
          </w14:textFill>
        </w:rPr>
      </w:pPr>
      <w:r>
        <w:rPr>
          <w:rFonts w:hint="eastAsia" w:ascii="宋体" w:hAnsi="宋体" w:eastAsia="宋体" w:cs="Times New Roman"/>
          <w:b w:val="0"/>
          <w:bCs w:val="0"/>
          <w:color w:val="000000" w:themeColor="text1"/>
          <w:kern w:val="2"/>
          <w:sz w:val="22"/>
          <w:szCs w:val="22"/>
          <w:highlight w:val="none"/>
          <w:lang w:val="en-US" w:eastAsia="zh-CN"/>
          <w14:textFill>
            <w14:solidFill>
              <w14:schemeClr w14:val="tx1"/>
            </w14:solidFill>
          </w14:textFill>
        </w:rPr>
        <w:t xml:space="preserve">2. 处罚流程：警告 → 限期整改 → 扣款/通报 → 解除合同。  </w:t>
      </w:r>
    </w:p>
    <w:p w14:paraId="76E1A176">
      <w:pPr>
        <w:widowControl w:val="0"/>
        <w:spacing w:after="0" w:line="360" w:lineRule="auto"/>
        <w:ind w:firstLine="440" w:firstLineChars="200"/>
        <w:jc w:val="both"/>
        <w:rPr>
          <w:rFonts w:hint="eastAsia" w:ascii="宋体" w:hAnsi="宋体" w:eastAsia="宋体" w:cs="Times New Roman"/>
          <w:b w:val="0"/>
          <w:bCs w:val="0"/>
          <w:color w:val="000000" w:themeColor="text1"/>
          <w:kern w:val="2"/>
          <w:sz w:val="22"/>
          <w:szCs w:val="22"/>
          <w:highlight w:val="none"/>
          <w:lang w:val="en-US" w:eastAsia="zh-CN"/>
          <w14:textFill>
            <w14:solidFill>
              <w14:schemeClr w14:val="tx1"/>
            </w14:solidFill>
          </w14:textFill>
        </w:rPr>
      </w:pPr>
      <w:r>
        <w:rPr>
          <w:rFonts w:hint="eastAsia" w:ascii="宋体" w:hAnsi="宋体" w:eastAsia="宋体" w:cs="Times New Roman"/>
          <w:b w:val="0"/>
          <w:bCs w:val="0"/>
          <w:color w:val="000000" w:themeColor="text1"/>
          <w:kern w:val="2"/>
          <w:sz w:val="22"/>
          <w:szCs w:val="22"/>
          <w:highlight w:val="none"/>
          <w:lang w:val="en-US" w:eastAsia="zh-CN"/>
          <w14:textFill>
            <w14:solidFill>
              <w14:schemeClr w14:val="tx1"/>
            </w14:solidFill>
          </w14:textFill>
        </w:rPr>
        <w:t xml:space="preserve">五、附则  </w:t>
      </w:r>
    </w:p>
    <w:p w14:paraId="32E85061">
      <w:pPr>
        <w:widowControl w:val="0"/>
        <w:spacing w:after="0" w:line="360" w:lineRule="auto"/>
        <w:ind w:firstLine="440" w:firstLineChars="200"/>
        <w:jc w:val="both"/>
        <w:rPr>
          <w:rFonts w:hint="eastAsia" w:ascii="宋体" w:hAnsi="宋体" w:eastAsia="宋体" w:cs="Times New Roman"/>
          <w:b w:val="0"/>
          <w:bCs w:val="0"/>
          <w:color w:val="000000" w:themeColor="text1"/>
          <w:kern w:val="2"/>
          <w:sz w:val="22"/>
          <w:szCs w:val="22"/>
          <w:highlight w:val="none"/>
          <w:lang w:val="en-US" w:eastAsia="zh-CN"/>
          <w14:textFill>
            <w14:solidFill>
              <w14:schemeClr w14:val="tx1"/>
            </w14:solidFill>
          </w14:textFill>
        </w:rPr>
      </w:pPr>
      <w:r>
        <w:rPr>
          <w:rFonts w:hint="eastAsia" w:ascii="宋体" w:hAnsi="宋体" w:eastAsia="宋体" w:cs="Times New Roman"/>
          <w:b w:val="0"/>
          <w:bCs w:val="0"/>
          <w:color w:val="000000" w:themeColor="text1"/>
          <w:kern w:val="2"/>
          <w:sz w:val="22"/>
          <w:szCs w:val="22"/>
          <w:highlight w:val="none"/>
          <w:lang w:val="en-US" w:eastAsia="zh-CN"/>
          <w14:textFill>
            <w14:solidFill>
              <w14:schemeClr w14:val="tx1"/>
            </w14:solidFill>
          </w14:textFill>
        </w:rPr>
        <w:t xml:space="preserve">1.本规定作为消防维保合同的附件，纳入招标文件的《技术服务要求》及《合同专用条款》；与合同主体具有同等法律效力；  </w:t>
      </w:r>
    </w:p>
    <w:p w14:paraId="78814FAD">
      <w:pPr>
        <w:widowControl w:val="0"/>
        <w:spacing w:after="0" w:line="360" w:lineRule="auto"/>
        <w:ind w:firstLine="440" w:firstLineChars="200"/>
        <w:jc w:val="both"/>
        <w:rPr>
          <w:rFonts w:hint="eastAsia" w:ascii="宋体" w:hAnsi="宋体" w:eastAsia="宋体" w:cs="Times New Roman"/>
          <w:b w:val="0"/>
          <w:bCs w:val="0"/>
          <w:color w:val="000000" w:themeColor="text1"/>
          <w:kern w:val="2"/>
          <w:sz w:val="22"/>
          <w:szCs w:val="22"/>
          <w:highlight w:val="none"/>
          <w:lang w:val="en-US" w:eastAsia="zh-CN"/>
          <w14:textFill>
            <w14:solidFill>
              <w14:schemeClr w14:val="tx1"/>
            </w14:solidFill>
          </w14:textFill>
        </w:rPr>
      </w:pPr>
      <w:r>
        <w:rPr>
          <w:rFonts w:hint="eastAsia" w:ascii="宋体" w:hAnsi="宋体" w:eastAsia="宋体" w:cs="Times New Roman"/>
          <w:b w:val="0"/>
          <w:bCs w:val="0"/>
          <w:color w:val="FF0000"/>
          <w:kern w:val="2"/>
          <w:sz w:val="22"/>
          <w:szCs w:val="22"/>
          <w:highlight w:val="none"/>
          <w:lang w:val="en-US" w:eastAsia="zh-CN"/>
        </w:rPr>
        <w:t>2.维保单位须缴纳5000元履约保证金；</w:t>
      </w:r>
      <w:r>
        <w:rPr>
          <w:rFonts w:hint="eastAsia" w:ascii="宋体" w:hAnsi="宋体" w:eastAsia="宋体" w:cs="Times New Roman"/>
          <w:b w:val="0"/>
          <w:bCs w:val="0"/>
          <w:color w:val="000000" w:themeColor="text1"/>
          <w:kern w:val="2"/>
          <w:sz w:val="22"/>
          <w:szCs w:val="22"/>
          <w:highlight w:val="none"/>
          <w:lang w:val="en-US" w:eastAsia="zh-CN"/>
          <w14:textFill>
            <w14:solidFill>
              <w14:schemeClr w14:val="tx1"/>
            </w14:solidFill>
          </w14:textFill>
        </w:rPr>
        <w:t xml:space="preserve">  </w:t>
      </w:r>
    </w:p>
    <w:p w14:paraId="525E61AC">
      <w:pPr>
        <w:widowControl w:val="0"/>
        <w:spacing w:after="0" w:line="360" w:lineRule="auto"/>
        <w:ind w:firstLine="440" w:firstLineChars="200"/>
        <w:jc w:val="both"/>
        <w:rPr>
          <w:rFonts w:hint="eastAsia" w:ascii="宋体" w:hAnsi="宋体" w:eastAsia="宋体" w:cs="Times New Roman"/>
          <w:b w:val="0"/>
          <w:bCs w:val="0"/>
          <w:color w:val="000000" w:themeColor="text1"/>
          <w:kern w:val="2"/>
          <w:sz w:val="22"/>
          <w:szCs w:val="22"/>
          <w:highlight w:val="none"/>
          <w:lang w:val="en-US" w:eastAsia="zh-CN"/>
          <w14:textFill>
            <w14:solidFill>
              <w14:schemeClr w14:val="tx1"/>
            </w14:solidFill>
          </w14:textFill>
        </w:rPr>
      </w:pPr>
      <w:r>
        <w:rPr>
          <w:rFonts w:hint="eastAsia" w:ascii="宋体" w:hAnsi="宋体" w:eastAsia="宋体" w:cs="Times New Roman"/>
          <w:b w:val="0"/>
          <w:bCs w:val="0"/>
          <w:color w:val="000000" w:themeColor="text1"/>
          <w:kern w:val="2"/>
          <w:sz w:val="22"/>
          <w:szCs w:val="22"/>
          <w:highlight w:val="none"/>
          <w:lang w:val="en-US" w:eastAsia="zh-CN"/>
          <w14:textFill>
            <w14:solidFill>
              <w14:schemeClr w14:val="tx1"/>
            </w14:solidFill>
          </w14:textFill>
        </w:rPr>
        <w:t xml:space="preserve">3.处罚款项优先从履约保证金中扣除，不足部分由维保单位补缴。  </w:t>
      </w:r>
    </w:p>
    <w:p w14:paraId="59417CF9">
      <w:pPr>
        <w:widowControl w:val="0"/>
        <w:spacing w:after="0" w:line="360" w:lineRule="auto"/>
        <w:ind w:firstLine="440" w:firstLineChars="200"/>
        <w:jc w:val="both"/>
        <w:rPr>
          <w:rFonts w:hint="eastAsia" w:ascii="宋体" w:hAnsi="宋体" w:eastAsia="宋体" w:cs="Times New Roman"/>
          <w:b w:val="0"/>
          <w:bCs w:val="0"/>
          <w:color w:val="000000" w:themeColor="text1"/>
          <w:kern w:val="2"/>
          <w:sz w:val="22"/>
          <w:szCs w:val="22"/>
          <w:highlight w:val="none"/>
          <w:lang w:val="en-US" w:eastAsia="zh-CN"/>
          <w14:textFill>
            <w14:solidFill>
              <w14:schemeClr w14:val="tx1"/>
            </w14:solidFill>
          </w14:textFill>
        </w:rPr>
      </w:pPr>
      <w:r>
        <w:rPr>
          <w:rFonts w:hint="eastAsia" w:ascii="宋体" w:hAnsi="宋体" w:eastAsia="宋体" w:cs="Times New Roman"/>
          <w:b w:val="0"/>
          <w:bCs w:val="0"/>
          <w:color w:val="000000" w:themeColor="text1"/>
          <w:kern w:val="2"/>
          <w:sz w:val="22"/>
          <w:szCs w:val="22"/>
          <w:highlight w:val="none"/>
          <w:lang w:val="en-US" w:eastAsia="zh-CN"/>
          <w14:textFill>
            <w14:solidFill>
              <w14:schemeClr w14:val="tx1"/>
            </w14:solidFill>
          </w14:textFill>
        </w:rPr>
        <w:t>4.高校消防维保事关师生生命安全，须以“零容忍”态度压实服务单位责任。通过阶梯式处罚与经济、行政手段结合，确保消防系统始终处于战备状态。</w:t>
      </w:r>
    </w:p>
    <w:p w14:paraId="27577BE4">
      <w:pPr>
        <w:spacing w:line="240" w:lineRule="auto"/>
        <w:rPr>
          <w:rFonts w:hint="eastAsia" w:ascii="宋体" w:hAnsi="宋体" w:eastAsia="宋体" w:cs="宋体"/>
          <w:sz w:val="22"/>
          <w:szCs w:val="22"/>
          <w:lang w:val="en-US" w:eastAsia="zh-CN"/>
        </w:rPr>
      </w:pPr>
    </w:p>
    <w:p w14:paraId="2F8F878F">
      <w:pPr>
        <w:spacing w:line="240" w:lineRule="auto"/>
        <w:rPr>
          <w:rFonts w:hint="eastAsia" w:ascii="宋体" w:hAnsi="宋体" w:eastAsia="宋体" w:cs="宋体"/>
          <w:sz w:val="22"/>
          <w:szCs w:val="22"/>
          <w:lang w:val="en-US" w:eastAsia="zh-CN"/>
        </w:rPr>
      </w:pPr>
    </w:p>
    <w:p w14:paraId="27392935">
      <w:pPr>
        <w:spacing w:line="240" w:lineRule="auto"/>
        <w:rPr>
          <w:rFonts w:hint="eastAsia" w:ascii="宋体" w:hAnsi="宋体" w:eastAsia="宋体" w:cs="宋体"/>
          <w:sz w:val="22"/>
          <w:szCs w:val="22"/>
          <w:lang w:val="en-US" w:eastAsia="zh-CN"/>
        </w:rPr>
      </w:pPr>
    </w:p>
    <w:p w14:paraId="0DC1F6BD">
      <w:pPr>
        <w:spacing w:line="240" w:lineRule="auto"/>
        <w:rPr>
          <w:rFonts w:hint="eastAsia" w:ascii="宋体" w:hAnsi="宋体" w:eastAsia="宋体" w:cs="宋体"/>
          <w:sz w:val="22"/>
          <w:szCs w:val="22"/>
          <w:lang w:val="en-US" w:eastAsia="zh-CN"/>
        </w:rPr>
      </w:pPr>
    </w:p>
    <w:p w14:paraId="24AB804A">
      <w:pPr>
        <w:spacing w:line="240" w:lineRule="auto"/>
        <w:rPr>
          <w:rFonts w:hint="eastAsia" w:ascii="宋体" w:hAnsi="宋体" w:eastAsia="宋体" w:cs="宋体"/>
          <w:sz w:val="22"/>
          <w:szCs w:val="22"/>
          <w:lang w:val="en-US" w:eastAsia="zh-CN"/>
        </w:rPr>
      </w:pPr>
    </w:p>
    <w:p w14:paraId="5414F726">
      <w:pPr>
        <w:spacing w:line="240" w:lineRule="auto"/>
        <w:rPr>
          <w:rFonts w:hint="eastAsia" w:ascii="宋体" w:hAnsi="宋体" w:eastAsia="宋体" w:cs="宋体"/>
          <w:sz w:val="22"/>
          <w:szCs w:val="22"/>
          <w:lang w:val="en-US" w:eastAsia="zh-CN"/>
        </w:rPr>
      </w:pPr>
    </w:p>
    <w:p w14:paraId="65B1BBE4">
      <w:pPr>
        <w:spacing w:line="240" w:lineRule="auto"/>
        <w:rPr>
          <w:rFonts w:hint="eastAsia" w:ascii="宋体" w:hAnsi="宋体" w:eastAsia="宋体" w:cs="宋体"/>
          <w:sz w:val="22"/>
          <w:szCs w:val="22"/>
          <w:lang w:val="en-US" w:eastAsia="zh-CN"/>
        </w:rPr>
      </w:pPr>
    </w:p>
    <w:p w14:paraId="4ECFC197">
      <w:pPr>
        <w:spacing w:line="240" w:lineRule="auto"/>
        <w:rPr>
          <w:rFonts w:hint="eastAsia" w:ascii="宋体" w:hAnsi="宋体" w:eastAsia="宋体" w:cs="宋体"/>
          <w:sz w:val="22"/>
          <w:szCs w:val="22"/>
          <w:lang w:val="en-US" w:eastAsia="zh-CN"/>
        </w:rPr>
      </w:pPr>
    </w:p>
    <w:p w14:paraId="43A6C206">
      <w:pPr>
        <w:spacing w:line="240" w:lineRule="auto"/>
        <w:rPr>
          <w:rFonts w:hint="eastAsia" w:ascii="宋体" w:hAnsi="宋体" w:eastAsia="宋体" w:cs="宋体"/>
          <w:sz w:val="22"/>
          <w:szCs w:val="22"/>
          <w:lang w:val="en-US" w:eastAsia="zh-CN"/>
        </w:rPr>
      </w:pPr>
    </w:p>
    <w:p w14:paraId="331FE622">
      <w:pPr>
        <w:spacing w:line="240" w:lineRule="auto"/>
        <w:rPr>
          <w:rFonts w:hint="eastAsia" w:ascii="宋体" w:hAnsi="宋体" w:eastAsia="宋体" w:cs="宋体"/>
          <w:sz w:val="22"/>
          <w:szCs w:val="22"/>
          <w:lang w:val="en-US" w:eastAsia="zh-CN"/>
        </w:rPr>
      </w:pPr>
    </w:p>
    <w:p w14:paraId="32192098">
      <w:pPr>
        <w:spacing w:line="240" w:lineRule="auto"/>
        <w:rPr>
          <w:rFonts w:hint="eastAsia" w:ascii="宋体" w:hAnsi="宋体" w:eastAsia="宋体" w:cs="宋体"/>
          <w:sz w:val="22"/>
          <w:szCs w:val="22"/>
          <w:lang w:val="en-US" w:eastAsia="zh-CN"/>
        </w:rPr>
      </w:pPr>
    </w:p>
    <w:p w14:paraId="1EAAD86C">
      <w:pPr>
        <w:spacing w:line="240" w:lineRule="auto"/>
        <w:rPr>
          <w:rFonts w:hint="eastAsia" w:ascii="宋体" w:hAnsi="宋体" w:eastAsia="宋体" w:cs="宋体"/>
          <w:sz w:val="22"/>
          <w:szCs w:val="22"/>
          <w:lang w:val="en-US" w:eastAsia="zh-CN"/>
        </w:rPr>
      </w:pPr>
    </w:p>
    <w:p w14:paraId="366961DF">
      <w:pPr>
        <w:spacing w:line="240" w:lineRule="auto"/>
        <w:rPr>
          <w:rFonts w:hint="eastAsia" w:ascii="宋体" w:hAnsi="宋体" w:eastAsia="宋体" w:cs="宋体"/>
          <w:sz w:val="22"/>
          <w:szCs w:val="22"/>
          <w:lang w:val="en-US" w:eastAsia="zh-CN"/>
        </w:rPr>
      </w:pPr>
    </w:p>
    <w:p w14:paraId="63CFF10A">
      <w:pPr>
        <w:spacing w:line="240" w:lineRule="auto"/>
        <w:rPr>
          <w:rFonts w:hint="eastAsia" w:ascii="宋体" w:hAnsi="宋体" w:eastAsia="宋体" w:cs="宋体"/>
          <w:sz w:val="22"/>
          <w:szCs w:val="22"/>
          <w:lang w:val="en-US" w:eastAsia="zh-CN"/>
        </w:rPr>
      </w:pPr>
    </w:p>
    <w:p w14:paraId="36DFC3B6">
      <w:pPr>
        <w:spacing w:line="240" w:lineRule="auto"/>
        <w:rPr>
          <w:rFonts w:hint="eastAsia" w:ascii="宋体" w:hAnsi="宋体" w:eastAsia="宋体" w:cs="宋体"/>
          <w:sz w:val="22"/>
          <w:szCs w:val="22"/>
          <w:lang w:val="en-US" w:eastAsia="zh-CN"/>
        </w:rPr>
      </w:pPr>
    </w:p>
    <w:p w14:paraId="4880DAB8">
      <w:pPr>
        <w:spacing w:line="240" w:lineRule="auto"/>
        <w:rPr>
          <w:rFonts w:hint="eastAsia" w:ascii="宋体" w:hAnsi="宋体" w:eastAsia="宋体" w:cs="宋体"/>
          <w:sz w:val="22"/>
          <w:szCs w:val="22"/>
          <w:lang w:val="en-US" w:eastAsia="zh-CN"/>
        </w:rPr>
      </w:pPr>
    </w:p>
    <w:p w14:paraId="3AB3EC45">
      <w:pPr>
        <w:spacing w:line="240" w:lineRule="auto"/>
        <w:rPr>
          <w:rFonts w:hint="eastAsia" w:ascii="宋体" w:hAnsi="宋体" w:eastAsia="宋体" w:cs="宋体"/>
          <w:sz w:val="22"/>
          <w:szCs w:val="22"/>
          <w:lang w:val="en-US" w:eastAsia="zh-CN"/>
        </w:rPr>
      </w:pPr>
    </w:p>
    <w:p w14:paraId="269FEA3D">
      <w:pPr>
        <w:spacing w:line="24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（二）报价一览表</w:t>
      </w:r>
    </w:p>
    <w:tbl>
      <w:tblPr>
        <w:tblStyle w:val="34"/>
        <w:tblW w:w="0" w:type="auto"/>
        <w:tblInd w:w="0" w:type="dxa"/>
        <w:tblLayout w:type="fixed"/>
        <w:tblCellMar>
          <w:top w:w="0" w:type="dxa"/>
          <w:left w:w="0" w:type="dxa"/>
          <w:bottom w:w="0" w:type="dxa"/>
          <w:right w:w="0" w:type="dxa"/>
        </w:tblCellMar>
      </w:tblPr>
      <w:tblGrid>
        <w:gridCol w:w="4168"/>
        <w:gridCol w:w="3585"/>
        <w:gridCol w:w="3048"/>
      </w:tblGrid>
      <w:tr w14:paraId="71076A65">
        <w:tblPrEx>
          <w:tblCellMar>
            <w:top w:w="0" w:type="dxa"/>
            <w:left w:w="0" w:type="dxa"/>
            <w:bottom w:w="0" w:type="dxa"/>
            <w:right w:w="0" w:type="dxa"/>
          </w:tblCellMar>
        </w:tblPrEx>
        <w:trPr>
          <w:trHeight w:val="882" w:hRule="atLeast"/>
        </w:trPr>
        <w:tc>
          <w:tcPr>
            <w:tcW w:w="41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FDABFA">
            <w:pPr>
              <w:widowControl/>
              <w:spacing w:line="240" w:lineRule="auto"/>
              <w:jc w:val="center"/>
              <w:textAlignment w:val="center"/>
              <w:rPr>
                <w:rFonts w:hint="eastAsia" w:ascii="宋体" w:hAnsi="宋体" w:eastAsia="宋体" w:cs="宋体"/>
                <w:b w:val="0"/>
                <w:bCs/>
                <w:color w:val="000000"/>
                <w:sz w:val="22"/>
                <w:lang w:val="en-US" w:eastAsia="zh-CN"/>
              </w:rPr>
            </w:pPr>
            <w:r>
              <w:rPr>
                <w:rFonts w:hint="eastAsia" w:ascii="宋体" w:hAnsi="宋体" w:eastAsia="宋体" w:cs="宋体"/>
                <w:b w:val="0"/>
                <w:bCs/>
                <w:color w:val="000000"/>
                <w:sz w:val="22"/>
                <w:lang w:val="en-US" w:eastAsia="zh-CN"/>
              </w:rPr>
              <w:t>项目名称</w:t>
            </w:r>
          </w:p>
        </w:tc>
        <w:tc>
          <w:tcPr>
            <w:tcW w:w="3585" w:type="dxa"/>
            <w:tcBorders>
              <w:top w:val="single" w:color="000000" w:sz="4" w:space="0"/>
              <w:left w:val="single" w:color="000000" w:sz="4" w:space="0"/>
              <w:right w:val="single" w:color="000000" w:sz="4" w:space="0"/>
            </w:tcBorders>
            <w:noWrap w:val="0"/>
            <w:tcMar>
              <w:top w:w="15" w:type="dxa"/>
              <w:left w:w="15" w:type="dxa"/>
              <w:right w:w="15" w:type="dxa"/>
            </w:tcMar>
            <w:vAlign w:val="center"/>
          </w:tcPr>
          <w:p w14:paraId="0A6CD71C">
            <w:pPr>
              <w:widowControl/>
              <w:spacing w:line="240" w:lineRule="auto"/>
              <w:jc w:val="center"/>
              <w:textAlignment w:val="center"/>
              <w:rPr>
                <w:rFonts w:hint="eastAsia" w:ascii="宋体" w:hAnsi="宋体" w:eastAsia="宋体" w:cs="宋体"/>
                <w:b w:val="0"/>
                <w:bCs/>
                <w:color w:val="000000"/>
                <w:sz w:val="22"/>
                <w:lang w:val="en-US" w:eastAsia="zh-CN"/>
              </w:rPr>
            </w:pPr>
            <w:r>
              <w:rPr>
                <w:rFonts w:hint="eastAsia" w:ascii="宋体" w:hAnsi="宋体" w:eastAsia="宋体" w:cs="宋体"/>
                <w:b w:val="0"/>
                <w:bCs/>
                <w:color w:val="000000"/>
                <w:sz w:val="22"/>
                <w:lang w:val="en-US" w:eastAsia="zh-CN"/>
              </w:rPr>
              <w:t>含税总价（元）</w:t>
            </w:r>
          </w:p>
        </w:tc>
        <w:tc>
          <w:tcPr>
            <w:tcW w:w="3048" w:type="dxa"/>
            <w:tcBorders>
              <w:top w:val="single" w:color="000000" w:sz="4" w:space="0"/>
              <w:left w:val="single" w:color="000000" w:sz="4" w:space="0"/>
              <w:right w:val="single" w:color="000000" w:sz="4" w:space="0"/>
            </w:tcBorders>
            <w:noWrap w:val="0"/>
            <w:tcMar>
              <w:top w:w="15" w:type="dxa"/>
              <w:left w:w="15" w:type="dxa"/>
              <w:right w:w="15" w:type="dxa"/>
            </w:tcMar>
            <w:vAlign w:val="center"/>
          </w:tcPr>
          <w:p w14:paraId="16A906EB">
            <w:pPr>
              <w:widowControl/>
              <w:spacing w:line="240" w:lineRule="auto"/>
              <w:jc w:val="center"/>
              <w:textAlignment w:val="center"/>
              <w:rPr>
                <w:rFonts w:hint="default" w:ascii="宋体" w:hAnsi="宋体" w:eastAsia="宋体" w:cs="宋体"/>
                <w:b w:val="0"/>
                <w:bCs/>
                <w:color w:val="000000"/>
                <w:sz w:val="22"/>
                <w:lang w:val="en-US" w:eastAsia="zh-CN"/>
              </w:rPr>
            </w:pPr>
            <w:r>
              <w:rPr>
                <w:rFonts w:hint="eastAsia" w:ascii="宋体" w:hAnsi="宋体" w:eastAsia="宋体" w:cs="宋体"/>
                <w:b w:val="0"/>
                <w:bCs/>
                <w:color w:val="000000"/>
                <w:sz w:val="22"/>
                <w:lang w:val="en-US" w:eastAsia="zh-CN"/>
              </w:rPr>
              <w:t>服务期</w:t>
            </w:r>
          </w:p>
        </w:tc>
      </w:tr>
      <w:tr w14:paraId="3641CFB7">
        <w:tblPrEx>
          <w:tblCellMar>
            <w:top w:w="0" w:type="dxa"/>
            <w:left w:w="0" w:type="dxa"/>
            <w:bottom w:w="0" w:type="dxa"/>
            <w:right w:w="0" w:type="dxa"/>
          </w:tblCellMar>
        </w:tblPrEx>
        <w:trPr>
          <w:trHeight w:val="1652" w:hRule="atLeast"/>
        </w:trPr>
        <w:tc>
          <w:tcPr>
            <w:tcW w:w="41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0EDF53">
            <w:pPr>
              <w:widowControl/>
              <w:jc w:val="center"/>
              <w:textAlignment w:val="center"/>
              <w:rPr>
                <w:rFonts w:hint="eastAsia" w:ascii="宋体" w:hAnsi="宋体" w:eastAsia="宋体" w:cs="宋体"/>
                <w:b w:val="0"/>
                <w:bCs/>
                <w:color w:val="000000"/>
                <w:sz w:val="22"/>
                <w:lang w:val="en-US" w:eastAsia="zh-CN"/>
              </w:rPr>
            </w:pPr>
            <w:r>
              <w:rPr>
                <w:rFonts w:hint="eastAsia" w:ascii="宋体" w:hAnsi="宋体" w:eastAsia="宋体" w:cs="宋体"/>
                <w:b w:val="0"/>
                <w:bCs/>
                <w:color w:val="000000"/>
                <w:sz w:val="22"/>
                <w:lang w:val="en-US" w:eastAsia="zh-CN"/>
              </w:rPr>
              <w:t>辽宁何氏医学院</w:t>
            </w:r>
          </w:p>
          <w:p w14:paraId="36620115">
            <w:pPr>
              <w:widowControl/>
              <w:jc w:val="center"/>
              <w:textAlignment w:val="center"/>
              <w:rPr>
                <w:rFonts w:hint="eastAsia" w:ascii="宋体" w:hAnsi="宋体" w:eastAsia="宋体" w:cs="宋体"/>
                <w:b w:val="0"/>
                <w:bCs/>
                <w:color w:val="000000"/>
                <w:sz w:val="22"/>
                <w:lang w:val="en-US" w:eastAsia="zh-CN"/>
              </w:rPr>
            </w:pPr>
            <w:r>
              <w:rPr>
                <w:rFonts w:hint="eastAsia" w:ascii="宋体" w:hAnsi="宋体" w:eastAsia="宋体" w:cs="宋体"/>
                <w:b w:val="0"/>
                <w:bCs/>
                <w:color w:val="000000"/>
                <w:sz w:val="22"/>
                <w:lang w:val="en-US" w:eastAsia="zh-CN"/>
              </w:rPr>
              <w:t>2026-2027年度消防设施维护保养项目</w:t>
            </w:r>
          </w:p>
        </w:tc>
        <w:tc>
          <w:tcPr>
            <w:tcW w:w="35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522C1D">
            <w:pPr>
              <w:widowControl/>
              <w:jc w:val="left"/>
              <w:textAlignment w:val="center"/>
              <w:rPr>
                <w:rFonts w:hint="eastAsia" w:ascii="宋体" w:hAnsi="宋体" w:eastAsia="宋体" w:cs="宋体"/>
                <w:b w:val="0"/>
                <w:bCs/>
                <w:color w:val="000000"/>
                <w:sz w:val="22"/>
                <w:lang w:val="en-US" w:eastAsia="zh-CN"/>
              </w:rPr>
            </w:pPr>
            <w:r>
              <w:rPr>
                <w:rFonts w:hint="eastAsia" w:ascii="宋体" w:hAnsi="宋体" w:eastAsia="宋体" w:cs="宋体"/>
                <w:b w:val="0"/>
                <w:bCs/>
                <w:color w:val="000000"/>
                <w:sz w:val="22"/>
                <w:lang w:val="en-US" w:eastAsia="zh-CN"/>
              </w:rPr>
              <w:t>大</w:t>
            </w:r>
            <w:r>
              <w:rPr>
                <w:rFonts w:hint="eastAsia" w:ascii="宋体" w:hAnsi="宋体" w:eastAsia="宋体" w:cs="宋体"/>
                <w:b w:val="0"/>
                <w:bCs/>
                <w:color w:val="000000"/>
                <w:sz w:val="22"/>
                <w:lang w:val="en-US" w:eastAsia="zh-CN"/>
              </w:rPr>
              <w:t>写：</w:t>
            </w:r>
          </w:p>
          <w:p w14:paraId="145294CD">
            <w:pPr>
              <w:widowControl/>
              <w:jc w:val="left"/>
              <w:textAlignment w:val="center"/>
              <w:rPr>
                <w:rFonts w:hint="default" w:ascii="宋体" w:hAnsi="宋体" w:eastAsia="宋体" w:cs="宋体"/>
                <w:b w:val="0"/>
                <w:bCs/>
                <w:color w:val="000000"/>
                <w:sz w:val="22"/>
                <w:lang w:val="en-US" w:eastAsia="zh-CN"/>
              </w:rPr>
            </w:pPr>
            <w:r>
              <w:rPr>
                <w:rFonts w:hint="eastAsia" w:ascii="宋体" w:hAnsi="宋体" w:eastAsia="宋体" w:cs="宋体"/>
                <w:b w:val="0"/>
                <w:bCs/>
                <w:color w:val="000000"/>
                <w:sz w:val="22"/>
                <w:lang w:val="en-US" w:eastAsia="zh-CN"/>
              </w:rPr>
              <w:t>小写：</w:t>
            </w:r>
          </w:p>
        </w:tc>
        <w:tc>
          <w:tcPr>
            <w:tcW w:w="30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FB51DC">
            <w:pPr>
              <w:widowControl/>
              <w:jc w:val="center"/>
              <w:textAlignment w:val="center"/>
              <w:rPr>
                <w:rFonts w:hint="default" w:ascii="宋体" w:hAnsi="宋体" w:eastAsia="宋体" w:cs="宋体"/>
                <w:b w:val="0"/>
                <w:bCs/>
                <w:color w:val="000000"/>
                <w:sz w:val="22"/>
                <w:lang w:val="en-US" w:eastAsia="zh-CN"/>
              </w:rPr>
            </w:pPr>
            <w:r>
              <w:rPr>
                <w:rFonts w:hint="eastAsia" w:ascii="宋体" w:hAnsi="宋体" w:eastAsia="宋体" w:cs="宋体"/>
                <w:b w:val="0"/>
                <w:bCs/>
                <w:color w:val="000000"/>
                <w:sz w:val="22"/>
                <w:lang w:val="en-US" w:eastAsia="zh-CN"/>
              </w:rPr>
              <w:t>1年</w:t>
            </w:r>
          </w:p>
        </w:tc>
      </w:tr>
      <w:tr w14:paraId="2A09DF5B">
        <w:tblPrEx>
          <w:tblCellMar>
            <w:top w:w="0" w:type="dxa"/>
            <w:left w:w="0" w:type="dxa"/>
            <w:bottom w:w="0" w:type="dxa"/>
            <w:right w:w="0" w:type="dxa"/>
          </w:tblCellMar>
        </w:tblPrEx>
        <w:trPr>
          <w:trHeight w:val="862" w:hRule="atLeast"/>
        </w:trPr>
        <w:tc>
          <w:tcPr>
            <w:tcW w:w="1080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A5DF33">
            <w:pPr>
              <w:widowControl/>
              <w:spacing w:line="240" w:lineRule="auto"/>
              <w:jc w:val="left"/>
              <w:textAlignment w:val="center"/>
              <w:rPr>
                <w:rFonts w:hint="default" w:ascii="宋体" w:hAnsi="宋体" w:eastAsia="宋体" w:cs="宋体"/>
                <w:b w:val="0"/>
                <w:bCs/>
                <w:color w:val="000000"/>
                <w:kern w:val="0"/>
                <w:sz w:val="22"/>
                <w:lang w:val="en-US" w:eastAsia="zh-CN" w:bidi="ar"/>
              </w:rPr>
            </w:pPr>
            <w:r>
              <w:rPr>
                <w:rFonts w:hint="eastAsia" w:ascii="宋体" w:hAnsi="宋体" w:eastAsia="宋体" w:cs="宋体"/>
                <w:b w:val="0"/>
                <w:bCs/>
                <w:color w:val="000000"/>
                <w:kern w:val="0"/>
                <w:sz w:val="22"/>
                <w:lang w:val="en-US" w:eastAsia="zh-CN" w:bidi="ar"/>
              </w:rPr>
              <w:t>付</w:t>
            </w:r>
            <w:r>
              <w:rPr>
                <w:rFonts w:hint="eastAsia" w:ascii="宋体" w:hAnsi="宋体" w:eastAsia="宋体" w:cs="宋体"/>
                <w:b w:val="0"/>
                <w:bCs/>
                <w:color w:val="000000"/>
                <w:sz w:val="22"/>
                <w:lang w:val="en-US" w:eastAsia="zh-CN"/>
              </w:rPr>
              <w:t>款方式：按季度结款</w:t>
            </w:r>
          </w:p>
        </w:tc>
      </w:tr>
      <w:tr w14:paraId="37A3D354">
        <w:tblPrEx>
          <w:tblCellMar>
            <w:top w:w="0" w:type="dxa"/>
            <w:left w:w="0" w:type="dxa"/>
            <w:bottom w:w="0" w:type="dxa"/>
            <w:right w:w="0" w:type="dxa"/>
          </w:tblCellMar>
        </w:tblPrEx>
        <w:trPr>
          <w:trHeight w:val="874" w:hRule="atLeast"/>
        </w:trPr>
        <w:tc>
          <w:tcPr>
            <w:tcW w:w="1080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FB0BE5">
            <w:pPr>
              <w:widowControl/>
              <w:spacing w:line="240" w:lineRule="auto"/>
              <w:jc w:val="left"/>
              <w:textAlignment w:val="center"/>
              <w:rPr>
                <w:rFonts w:hint="eastAsia" w:ascii="宋体" w:hAnsi="宋体" w:eastAsia="宋体" w:cs="宋体"/>
                <w:b w:val="0"/>
                <w:bCs/>
                <w:color w:val="000000"/>
                <w:kern w:val="0"/>
                <w:sz w:val="22"/>
                <w:lang w:val="en-US" w:eastAsia="zh-CN" w:bidi="ar"/>
              </w:rPr>
            </w:pPr>
            <w:r>
              <w:rPr>
                <w:rFonts w:hint="eastAsia" w:ascii="宋体" w:hAnsi="宋体" w:eastAsia="宋体" w:cs="宋体"/>
                <w:b w:val="0"/>
                <w:bCs/>
                <w:color w:val="000000"/>
                <w:kern w:val="0"/>
                <w:sz w:val="22"/>
                <w:lang w:val="en-US" w:eastAsia="zh-CN" w:bidi="ar"/>
              </w:rPr>
              <w:t>报价单位（盖章）：</w:t>
            </w:r>
          </w:p>
        </w:tc>
      </w:tr>
      <w:tr w14:paraId="0C4A5FCD">
        <w:tblPrEx>
          <w:tblCellMar>
            <w:top w:w="0" w:type="dxa"/>
            <w:left w:w="0" w:type="dxa"/>
            <w:bottom w:w="0" w:type="dxa"/>
            <w:right w:w="0" w:type="dxa"/>
          </w:tblCellMar>
        </w:tblPrEx>
        <w:trPr>
          <w:trHeight w:val="901" w:hRule="atLeast"/>
        </w:trPr>
        <w:tc>
          <w:tcPr>
            <w:tcW w:w="1080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D7671E">
            <w:pPr>
              <w:widowControl/>
              <w:spacing w:line="240" w:lineRule="auto"/>
              <w:jc w:val="left"/>
              <w:textAlignment w:val="center"/>
              <w:rPr>
                <w:rFonts w:hint="default" w:ascii="宋体" w:hAnsi="宋体" w:eastAsia="宋体" w:cs="宋体"/>
                <w:b w:val="0"/>
                <w:bCs/>
                <w:color w:val="000000"/>
                <w:kern w:val="0"/>
                <w:sz w:val="22"/>
                <w:lang w:val="en-US" w:eastAsia="zh-CN" w:bidi="ar"/>
              </w:rPr>
            </w:pPr>
            <w:r>
              <w:rPr>
                <w:rFonts w:hint="eastAsia" w:ascii="宋体" w:hAnsi="宋体" w:eastAsia="宋体" w:cs="宋体"/>
                <w:b w:val="0"/>
                <w:bCs/>
                <w:color w:val="000000"/>
                <w:kern w:val="0"/>
                <w:sz w:val="22"/>
                <w:lang w:val="en-US" w:eastAsia="zh-CN" w:bidi="ar"/>
              </w:rPr>
              <w:t xml:space="preserve">联系人：                     </w:t>
            </w:r>
            <w:r>
              <w:rPr>
                <w:rFonts w:hint="eastAsia" w:ascii="宋体" w:hAnsi="宋体" w:cs="宋体"/>
                <w:b w:val="0"/>
                <w:bCs/>
                <w:color w:val="000000"/>
                <w:sz w:val="24"/>
                <w:szCs w:val="24"/>
                <w:lang w:val="en-US" w:eastAsia="zh-CN"/>
              </w:rPr>
              <w:t xml:space="preserve"> 联系方式：</w:t>
            </w:r>
          </w:p>
        </w:tc>
      </w:tr>
    </w:tbl>
    <w:p w14:paraId="6C9B76AD">
      <w:pPr>
        <w:numPr>
          <w:ilvl w:val="0"/>
          <w:numId w:val="0"/>
        </w:numPr>
        <w:spacing w:line="480" w:lineRule="auto"/>
        <w:ind w:left="422" w:leftChars="0" w:hanging="422" w:hangingChars="175"/>
        <w:rPr>
          <w:rFonts w:hint="eastAsia"/>
          <w:lang w:val="en-US" w:eastAsia="zh-CN"/>
        </w:rPr>
      </w:pPr>
      <w:r>
        <w:rPr>
          <w:rFonts w:hint="eastAsia" w:ascii="宋体" w:hAnsi="宋体" w:eastAsia="宋体" w:cs="宋体"/>
          <w:b/>
          <w:bCs/>
          <w:color w:val="FF0000"/>
          <w:sz w:val="24"/>
          <w:szCs w:val="24"/>
          <w:highlight w:val="none"/>
          <w:lang w:val="en-US" w:eastAsia="zh-CN"/>
        </w:rPr>
        <w:t>注：1.</w:t>
      </w:r>
      <w:r>
        <w:rPr>
          <w:rFonts w:hint="eastAsia" w:ascii="宋体" w:hAnsi="宋体" w:eastAsia="宋体" w:cs="宋体"/>
          <w:b/>
          <w:bCs/>
          <w:color w:val="FF0000"/>
          <w:sz w:val="22"/>
          <w:szCs w:val="22"/>
          <w:highlight w:val="none"/>
          <w:lang w:val="en-US" w:eastAsia="zh-CN"/>
        </w:rPr>
        <w:t>开具增值税普通发票  2.报价包含项目需求所有内容  3.另附相关资质</w:t>
      </w:r>
    </w:p>
    <w:tbl>
      <w:tblPr>
        <w:tblStyle w:val="34"/>
        <w:tblW w:w="10812" w:type="dxa"/>
        <w:tblInd w:w="8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73"/>
        <w:gridCol w:w="2967"/>
        <w:gridCol w:w="2280"/>
        <w:gridCol w:w="828"/>
        <w:gridCol w:w="804"/>
        <w:gridCol w:w="3060"/>
      </w:tblGrid>
      <w:tr w14:paraId="454EAB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12" w:type="dxa"/>
            <w:gridSpan w:val="6"/>
            <w:tcBorders>
              <w:top w:val="single" w:color="000000" w:sz="4" w:space="0"/>
              <w:bottom w:val="single" w:color="000000" w:sz="4" w:space="0"/>
              <w:right w:val="single" w:color="000000" w:sz="4" w:space="0"/>
            </w:tcBorders>
            <w:noWrap/>
            <w:vAlign w:val="center"/>
          </w:tcPr>
          <w:p w14:paraId="0FC391E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免费更换零部件明细及单价</w:t>
            </w:r>
          </w:p>
        </w:tc>
      </w:tr>
      <w:tr w14:paraId="464E0E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3" w:type="dxa"/>
            <w:tcBorders>
              <w:top w:val="single" w:color="000000" w:sz="4" w:space="0"/>
              <w:bottom w:val="single" w:color="000000" w:sz="4" w:space="0"/>
              <w:right w:val="single" w:color="000000" w:sz="4" w:space="0"/>
            </w:tcBorders>
            <w:noWrap/>
            <w:vAlign w:val="center"/>
          </w:tcPr>
          <w:p w14:paraId="7127E524">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序号</w:t>
            </w:r>
          </w:p>
        </w:tc>
        <w:tc>
          <w:tcPr>
            <w:tcW w:w="2967" w:type="dxa"/>
            <w:tcBorders>
              <w:top w:val="single" w:color="000000" w:sz="4" w:space="0"/>
              <w:left w:val="single" w:color="000000" w:sz="4" w:space="0"/>
              <w:bottom w:val="single" w:color="000000" w:sz="4" w:space="0"/>
              <w:right w:val="single" w:color="000000" w:sz="4" w:space="0"/>
            </w:tcBorders>
            <w:noWrap/>
            <w:vAlign w:val="center"/>
          </w:tcPr>
          <w:p w14:paraId="2A3BC00D">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配件名称</w:t>
            </w:r>
          </w:p>
        </w:tc>
        <w:tc>
          <w:tcPr>
            <w:tcW w:w="2280" w:type="dxa"/>
            <w:tcBorders>
              <w:top w:val="single" w:color="000000" w:sz="4" w:space="0"/>
              <w:left w:val="single" w:color="000000" w:sz="4" w:space="0"/>
              <w:bottom w:val="single" w:color="000000" w:sz="4" w:space="0"/>
              <w:right w:val="single" w:color="000000" w:sz="4" w:space="0"/>
            </w:tcBorders>
            <w:noWrap/>
            <w:vAlign w:val="center"/>
          </w:tcPr>
          <w:p w14:paraId="7D4B2E84">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规格</w:t>
            </w: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434D5244">
            <w:pPr>
              <w:keepNext w:val="0"/>
              <w:keepLines w:val="0"/>
              <w:widowControl/>
              <w:suppressLineNumbers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数量</w:t>
            </w:r>
          </w:p>
        </w:tc>
        <w:tc>
          <w:tcPr>
            <w:tcW w:w="804" w:type="dxa"/>
            <w:tcBorders>
              <w:top w:val="single" w:color="000000" w:sz="4" w:space="0"/>
              <w:left w:val="single" w:color="000000" w:sz="4" w:space="0"/>
              <w:bottom w:val="single" w:color="000000" w:sz="4" w:space="0"/>
              <w:right w:val="single" w:color="000000" w:sz="4" w:space="0"/>
            </w:tcBorders>
            <w:noWrap/>
            <w:vAlign w:val="center"/>
          </w:tcPr>
          <w:p w14:paraId="2B63DB35">
            <w:pPr>
              <w:keepNext w:val="0"/>
              <w:keepLines w:val="0"/>
              <w:widowControl/>
              <w:suppressLineNumbers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单位</w:t>
            </w:r>
          </w:p>
        </w:tc>
        <w:tc>
          <w:tcPr>
            <w:tcW w:w="3060" w:type="dxa"/>
            <w:tcBorders>
              <w:top w:val="single" w:color="000000" w:sz="4" w:space="0"/>
              <w:left w:val="single" w:color="000000" w:sz="4" w:space="0"/>
              <w:bottom w:val="single" w:color="000000" w:sz="4" w:space="0"/>
              <w:right w:val="single" w:color="000000" w:sz="4" w:space="0"/>
            </w:tcBorders>
            <w:noWrap/>
            <w:vAlign w:val="center"/>
          </w:tcPr>
          <w:p w14:paraId="31A724CB">
            <w:pPr>
              <w:keepNext w:val="0"/>
              <w:keepLines w:val="0"/>
              <w:widowControl/>
              <w:suppressLineNumbers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价格（元）</w:t>
            </w:r>
          </w:p>
        </w:tc>
      </w:tr>
      <w:tr w14:paraId="7F033D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3" w:type="dxa"/>
            <w:tcBorders>
              <w:top w:val="single" w:color="000000" w:sz="4" w:space="0"/>
              <w:bottom w:val="single" w:color="000000" w:sz="4" w:space="0"/>
              <w:right w:val="single" w:color="000000" w:sz="4" w:space="0"/>
            </w:tcBorders>
            <w:noWrap/>
            <w:vAlign w:val="center"/>
          </w:tcPr>
          <w:p w14:paraId="7855E667">
            <w:pPr>
              <w:keepNext w:val="0"/>
              <w:keepLines w:val="0"/>
              <w:widowControl/>
              <w:suppressLineNumbers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w:t>
            </w:r>
          </w:p>
        </w:tc>
        <w:tc>
          <w:tcPr>
            <w:tcW w:w="2967" w:type="dxa"/>
            <w:tcBorders>
              <w:top w:val="single" w:color="000000" w:sz="4" w:space="0"/>
              <w:left w:val="single" w:color="000000" w:sz="4" w:space="0"/>
              <w:bottom w:val="single" w:color="000000" w:sz="4" w:space="0"/>
              <w:right w:val="single" w:color="000000" w:sz="4" w:space="0"/>
            </w:tcBorders>
            <w:noWrap/>
            <w:vAlign w:val="center"/>
          </w:tcPr>
          <w:p w14:paraId="4DBC719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2280" w:type="dxa"/>
            <w:tcBorders>
              <w:top w:val="single" w:color="000000" w:sz="4" w:space="0"/>
              <w:left w:val="single" w:color="000000" w:sz="4" w:space="0"/>
              <w:bottom w:val="single" w:color="000000" w:sz="4" w:space="0"/>
              <w:right w:val="single" w:color="000000" w:sz="4" w:space="0"/>
            </w:tcBorders>
            <w:noWrap/>
            <w:vAlign w:val="center"/>
          </w:tcPr>
          <w:p w14:paraId="1A33CFD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29EB5140">
            <w:pPr>
              <w:keepNext w:val="0"/>
              <w:keepLines w:val="0"/>
              <w:widowControl/>
              <w:suppressLineNumbers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w:t>
            </w:r>
          </w:p>
        </w:tc>
        <w:tc>
          <w:tcPr>
            <w:tcW w:w="804" w:type="dxa"/>
            <w:tcBorders>
              <w:top w:val="single" w:color="000000" w:sz="4" w:space="0"/>
              <w:left w:val="single" w:color="000000" w:sz="4" w:space="0"/>
              <w:bottom w:val="single" w:color="000000" w:sz="4" w:space="0"/>
              <w:right w:val="single" w:color="000000" w:sz="4" w:space="0"/>
            </w:tcBorders>
            <w:noWrap/>
            <w:vAlign w:val="center"/>
          </w:tcPr>
          <w:p w14:paraId="5BD939A1">
            <w:pPr>
              <w:keepNext w:val="0"/>
              <w:keepLines w:val="0"/>
              <w:widowControl/>
              <w:suppressLineNumbers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个</w:t>
            </w:r>
          </w:p>
        </w:tc>
        <w:tc>
          <w:tcPr>
            <w:tcW w:w="3060" w:type="dxa"/>
            <w:tcBorders>
              <w:top w:val="single" w:color="000000" w:sz="4" w:space="0"/>
              <w:left w:val="single" w:color="000000" w:sz="4" w:space="0"/>
              <w:bottom w:val="single" w:color="000000" w:sz="4" w:space="0"/>
              <w:right w:val="single" w:color="000000" w:sz="4" w:space="0"/>
            </w:tcBorders>
            <w:noWrap/>
            <w:vAlign w:val="center"/>
          </w:tcPr>
          <w:p w14:paraId="2E6705C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28005A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3" w:type="dxa"/>
            <w:tcBorders>
              <w:top w:val="single" w:color="000000" w:sz="4" w:space="0"/>
              <w:bottom w:val="single" w:color="000000" w:sz="4" w:space="0"/>
              <w:right w:val="single" w:color="000000" w:sz="4" w:space="0"/>
            </w:tcBorders>
            <w:noWrap/>
            <w:vAlign w:val="center"/>
          </w:tcPr>
          <w:p w14:paraId="588FE243">
            <w:pPr>
              <w:keepNext w:val="0"/>
              <w:keepLines w:val="0"/>
              <w:widowControl/>
              <w:suppressLineNumbers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w:t>
            </w:r>
          </w:p>
        </w:tc>
        <w:tc>
          <w:tcPr>
            <w:tcW w:w="2967" w:type="dxa"/>
            <w:tcBorders>
              <w:top w:val="single" w:color="000000" w:sz="4" w:space="0"/>
              <w:left w:val="single" w:color="000000" w:sz="4" w:space="0"/>
              <w:bottom w:val="single" w:color="000000" w:sz="4" w:space="0"/>
              <w:right w:val="single" w:color="000000" w:sz="4" w:space="0"/>
            </w:tcBorders>
            <w:noWrap/>
            <w:vAlign w:val="center"/>
          </w:tcPr>
          <w:p w14:paraId="30CF60E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2280" w:type="dxa"/>
            <w:tcBorders>
              <w:top w:val="single" w:color="000000" w:sz="4" w:space="0"/>
              <w:left w:val="single" w:color="000000" w:sz="4" w:space="0"/>
              <w:bottom w:val="single" w:color="000000" w:sz="4" w:space="0"/>
              <w:right w:val="single" w:color="000000" w:sz="4" w:space="0"/>
            </w:tcBorders>
            <w:noWrap/>
            <w:vAlign w:val="center"/>
          </w:tcPr>
          <w:p w14:paraId="020DC2D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5C087EC2">
            <w:pPr>
              <w:keepNext w:val="0"/>
              <w:keepLines w:val="0"/>
              <w:widowControl/>
              <w:suppressLineNumbers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w:t>
            </w:r>
          </w:p>
        </w:tc>
        <w:tc>
          <w:tcPr>
            <w:tcW w:w="804" w:type="dxa"/>
            <w:tcBorders>
              <w:top w:val="single" w:color="000000" w:sz="4" w:space="0"/>
              <w:left w:val="single" w:color="000000" w:sz="4" w:space="0"/>
              <w:bottom w:val="single" w:color="000000" w:sz="4" w:space="0"/>
              <w:right w:val="single" w:color="000000" w:sz="4" w:space="0"/>
            </w:tcBorders>
            <w:noWrap/>
            <w:vAlign w:val="center"/>
          </w:tcPr>
          <w:p w14:paraId="19D8E54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3060" w:type="dxa"/>
            <w:tcBorders>
              <w:top w:val="single" w:color="000000" w:sz="4" w:space="0"/>
              <w:left w:val="single" w:color="000000" w:sz="4" w:space="0"/>
              <w:bottom w:val="single" w:color="000000" w:sz="4" w:space="0"/>
              <w:right w:val="single" w:color="000000" w:sz="4" w:space="0"/>
            </w:tcBorders>
            <w:noWrap/>
            <w:vAlign w:val="center"/>
          </w:tcPr>
          <w:p w14:paraId="0BA5700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01DBC0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3" w:type="dxa"/>
            <w:tcBorders>
              <w:top w:val="single" w:color="000000" w:sz="4" w:space="0"/>
              <w:bottom w:val="single" w:color="000000" w:sz="4" w:space="0"/>
              <w:right w:val="single" w:color="000000" w:sz="4" w:space="0"/>
            </w:tcBorders>
            <w:noWrap/>
            <w:vAlign w:val="center"/>
          </w:tcPr>
          <w:p w14:paraId="051A70DE">
            <w:pPr>
              <w:keepNext w:val="0"/>
              <w:keepLines w:val="0"/>
              <w:widowControl/>
              <w:suppressLineNumbers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3</w:t>
            </w:r>
          </w:p>
        </w:tc>
        <w:tc>
          <w:tcPr>
            <w:tcW w:w="2967" w:type="dxa"/>
            <w:tcBorders>
              <w:top w:val="single" w:color="000000" w:sz="4" w:space="0"/>
              <w:left w:val="single" w:color="000000" w:sz="4" w:space="0"/>
              <w:bottom w:val="single" w:color="000000" w:sz="4" w:space="0"/>
              <w:right w:val="single" w:color="000000" w:sz="4" w:space="0"/>
            </w:tcBorders>
            <w:noWrap/>
            <w:vAlign w:val="center"/>
          </w:tcPr>
          <w:p w14:paraId="3759318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2280" w:type="dxa"/>
            <w:tcBorders>
              <w:top w:val="single" w:color="000000" w:sz="4" w:space="0"/>
              <w:left w:val="single" w:color="000000" w:sz="4" w:space="0"/>
              <w:bottom w:val="single" w:color="000000" w:sz="4" w:space="0"/>
              <w:right w:val="single" w:color="000000" w:sz="4" w:space="0"/>
            </w:tcBorders>
            <w:noWrap/>
            <w:vAlign w:val="center"/>
          </w:tcPr>
          <w:p w14:paraId="2CB0744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1A8DCA21">
            <w:pPr>
              <w:keepNext w:val="0"/>
              <w:keepLines w:val="0"/>
              <w:widowControl/>
              <w:suppressLineNumbers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w:t>
            </w:r>
          </w:p>
        </w:tc>
        <w:tc>
          <w:tcPr>
            <w:tcW w:w="804" w:type="dxa"/>
            <w:tcBorders>
              <w:top w:val="single" w:color="000000" w:sz="4" w:space="0"/>
              <w:left w:val="single" w:color="000000" w:sz="4" w:space="0"/>
              <w:bottom w:val="single" w:color="000000" w:sz="4" w:space="0"/>
              <w:right w:val="single" w:color="000000" w:sz="4" w:space="0"/>
            </w:tcBorders>
            <w:noWrap/>
            <w:vAlign w:val="center"/>
          </w:tcPr>
          <w:p w14:paraId="52900D6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3060" w:type="dxa"/>
            <w:tcBorders>
              <w:top w:val="single" w:color="000000" w:sz="4" w:space="0"/>
              <w:left w:val="single" w:color="000000" w:sz="4" w:space="0"/>
              <w:bottom w:val="single" w:color="000000" w:sz="4" w:space="0"/>
              <w:right w:val="single" w:color="000000" w:sz="4" w:space="0"/>
            </w:tcBorders>
            <w:noWrap/>
            <w:vAlign w:val="center"/>
          </w:tcPr>
          <w:p w14:paraId="41B12E0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56858B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3" w:type="dxa"/>
            <w:tcBorders>
              <w:top w:val="single" w:color="000000" w:sz="4" w:space="0"/>
              <w:bottom w:val="single" w:color="000000" w:sz="4" w:space="0"/>
              <w:right w:val="single" w:color="000000" w:sz="4" w:space="0"/>
            </w:tcBorders>
            <w:noWrap/>
            <w:vAlign w:val="center"/>
          </w:tcPr>
          <w:p w14:paraId="786D2E56">
            <w:pPr>
              <w:keepNext w:val="0"/>
              <w:keepLines w:val="0"/>
              <w:widowControl/>
              <w:suppressLineNumbers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4</w:t>
            </w:r>
          </w:p>
        </w:tc>
        <w:tc>
          <w:tcPr>
            <w:tcW w:w="2967" w:type="dxa"/>
            <w:tcBorders>
              <w:top w:val="single" w:color="000000" w:sz="4" w:space="0"/>
              <w:left w:val="single" w:color="000000" w:sz="4" w:space="0"/>
              <w:bottom w:val="single" w:color="000000" w:sz="4" w:space="0"/>
              <w:right w:val="single" w:color="000000" w:sz="4" w:space="0"/>
            </w:tcBorders>
            <w:noWrap/>
            <w:vAlign w:val="center"/>
          </w:tcPr>
          <w:p w14:paraId="79F6562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2280" w:type="dxa"/>
            <w:tcBorders>
              <w:top w:val="single" w:color="000000" w:sz="4" w:space="0"/>
              <w:left w:val="single" w:color="000000" w:sz="4" w:space="0"/>
              <w:bottom w:val="single" w:color="000000" w:sz="4" w:space="0"/>
              <w:right w:val="single" w:color="000000" w:sz="4" w:space="0"/>
            </w:tcBorders>
            <w:noWrap/>
            <w:vAlign w:val="center"/>
          </w:tcPr>
          <w:p w14:paraId="3B70DC9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0B347BDD">
            <w:pPr>
              <w:keepNext w:val="0"/>
              <w:keepLines w:val="0"/>
              <w:widowControl/>
              <w:suppressLineNumbers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w:t>
            </w:r>
          </w:p>
        </w:tc>
        <w:tc>
          <w:tcPr>
            <w:tcW w:w="804" w:type="dxa"/>
            <w:tcBorders>
              <w:top w:val="single" w:color="000000" w:sz="4" w:space="0"/>
              <w:left w:val="single" w:color="000000" w:sz="4" w:space="0"/>
              <w:bottom w:val="single" w:color="000000" w:sz="4" w:space="0"/>
              <w:right w:val="single" w:color="000000" w:sz="4" w:space="0"/>
            </w:tcBorders>
            <w:noWrap/>
            <w:vAlign w:val="center"/>
          </w:tcPr>
          <w:p w14:paraId="2DF9AB7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3060" w:type="dxa"/>
            <w:tcBorders>
              <w:top w:val="single" w:color="000000" w:sz="4" w:space="0"/>
              <w:left w:val="single" w:color="000000" w:sz="4" w:space="0"/>
              <w:bottom w:val="single" w:color="000000" w:sz="4" w:space="0"/>
              <w:right w:val="single" w:color="000000" w:sz="4" w:space="0"/>
            </w:tcBorders>
            <w:noWrap/>
            <w:vAlign w:val="center"/>
          </w:tcPr>
          <w:p w14:paraId="1783F3B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747397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3" w:type="dxa"/>
            <w:tcBorders>
              <w:top w:val="single" w:color="000000" w:sz="4" w:space="0"/>
              <w:bottom w:val="single" w:color="000000" w:sz="4" w:space="0"/>
              <w:right w:val="single" w:color="000000" w:sz="4" w:space="0"/>
            </w:tcBorders>
            <w:noWrap/>
            <w:vAlign w:val="center"/>
          </w:tcPr>
          <w:p w14:paraId="1790B5F5">
            <w:pPr>
              <w:keepNext w:val="0"/>
              <w:keepLines w:val="0"/>
              <w:widowControl/>
              <w:suppressLineNumbers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5</w:t>
            </w:r>
          </w:p>
        </w:tc>
        <w:tc>
          <w:tcPr>
            <w:tcW w:w="2967" w:type="dxa"/>
            <w:tcBorders>
              <w:top w:val="single" w:color="000000" w:sz="4" w:space="0"/>
              <w:left w:val="single" w:color="000000" w:sz="4" w:space="0"/>
              <w:bottom w:val="single" w:color="000000" w:sz="4" w:space="0"/>
              <w:right w:val="single" w:color="000000" w:sz="4" w:space="0"/>
            </w:tcBorders>
            <w:noWrap/>
            <w:vAlign w:val="center"/>
          </w:tcPr>
          <w:p w14:paraId="1C177B9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2280" w:type="dxa"/>
            <w:tcBorders>
              <w:top w:val="single" w:color="000000" w:sz="4" w:space="0"/>
              <w:left w:val="single" w:color="000000" w:sz="4" w:space="0"/>
              <w:bottom w:val="single" w:color="000000" w:sz="4" w:space="0"/>
              <w:right w:val="single" w:color="000000" w:sz="4" w:space="0"/>
            </w:tcBorders>
            <w:noWrap/>
            <w:vAlign w:val="center"/>
          </w:tcPr>
          <w:p w14:paraId="26950A6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37E61BDC">
            <w:pPr>
              <w:keepNext w:val="0"/>
              <w:keepLines w:val="0"/>
              <w:widowControl/>
              <w:suppressLineNumbers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w:t>
            </w:r>
          </w:p>
        </w:tc>
        <w:tc>
          <w:tcPr>
            <w:tcW w:w="804" w:type="dxa"/>
            <w:tcBorders>
              <w:top w:val="single" w:color="000000" w:sz="4" w:space="0"/>
              <w:left w:val="single" w:color="000000" w:sz="4" w:space="0"/>
              <w:bottom w:val="single" w:color="000000" w:sz="4" w:space="0"/>
              <w:right w:val="single" w:color="000000" w:sz="4" w:space="0"/>
            </w:tcBorders>
            <w:noWrap/>
            <w:vAlign w:val="center"/>
          </w:tcPr>
          <w:p w14:paraId="0415264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3060" w:type="dxa"/>
            <w:tcBorders>
              <w:top w:val="single" w:color="000000" w:sz="4" w:space="0"/>
              <w:left w:val="single" w:color="000000" w:sz="4" w:space="0"/>
              <w:bottom w:val="single" w:color="000000" w:sz="4" w:space="0"/>
              <w:right w:val="single" w:color="000000" w:sz="4" w:space="0"/>
            </w:tcBorders>
            <w:noWrap/>
            <w:vAlign w:val="center"/>
          </w:tcPr>
          <w:p w14:paraId="0D97B9D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2C1B2B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3" w:type="dxa"/>
            <w:tcBorders>
              <w:top w:val="single" w:color="000000" w:sz="4" w:space="0"/>
              <w:bottom w:val="single" w:color="000000" w:sz="4" w:space="0"/>
              <w:right w:val="single" w:color="000000" w:sz="4" w:space="0"/>
            </w:tcBorders>
            <w:noWrap/>
            <w:vAlign w:val="center"/>
          </w:tcPr>
          <w:p w14:paraId="11E3329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w:t>
            </w:r>
          </w:p>
        </w:tc>
        <w:tc>
          <w:tcPr>
            <w:tcW w:w="2967" w:type="dxa"/>
            <w:tcBorders>
              <w:top w:val="single" w:color="000000" w:sz="4" w:space="0"/>
              <w:left w:val="single" w:color="000000" w:sz="4" w:space="0"/>
              <w:bottom w:val="single" w:color="000000" w:sz="4" w:space="0"/>
              <w:right w:val="single" w:color="000000" w:sz="4" w:space="0"/>
            </w:tcBorders>
            <w:noWrap/>
            <w:vAlign w:val="center"/>
          </w:tcPr>
          <w:p w14:paraId="7B10887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2280" w:type="dxa"/>
            <w:tcBorders>
              <w:top w:val="single" w:color="000000" w:sz="4" w:space="0"/>
              <w:left w:val="single" w:color="000000" w:sz="4" w:space="0"/>
              <w:bottom w:val="single" w:color="000000" w:sz="4" w:space="0"/>
              <w:right w:val="single" w:color="000000" w:sz="4" w:space="0"/>
            </w:tcBorders>
            <w:noWrap/>
            <w:vAlign w:val="center"/>
          </w:tcPr>
          <w:p w14:paraId="3C1BFB6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18EE1473">
            <w:pPr>
              <w:keepNext w:val="0"/>
              <w:keepLines w:val="0"/>
              <w:widowControl/>
              <w:suppressLineNumbers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w:t>
            </w:r>
          </w:p>
        </w:tc>
        <w:tc>
          <w:tcPr>
            <w:tcW w:w="804" w:type="dxa"/>
            <w:tcBorders>
              <w:top w:val="single" w:color="000000" w:sz="4" w:space="0"/>
              <w:left w:val="single" w:color="000000" w:sz="4" w:space="0"/>
              <w:bottom w:val="single" w:color="000000" w:sz="4" w:space="0"/>
              <w:right w:val="single" w:color="000000" w:sz="4" w:space="0"/>
            </w:tcBorders>
            <w:noWrap/>
            <w:vAlign w:val="center"/>
          </w:tcPr>
          <w:p w14:paraId="750C478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3060" w:type="dxa"/>
            <w:tcBorders>
              <w:top w:val="single" w:color="000000" w:sz="4" w:space="0"/>
              <w:left w:val="single" w:color="000000" w:sz="4" w:space="0"/>
              <w:bottom w:val="single" w:color="000000" w:sz="4" w:space="0"/>
              <w:right w:val="single" w:color="000000" w:sz="4" w:space="0"/>
            </w:tcBorders>
            <w:noWrap/>
            <w:vAlign w:val="center"/>
          </w:tcPr>
          <w:p w14:paraId="236B5F4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bl>
    <w:p w14:paraId="3D4AF991">
      <w:pPr>
        <w:spacing w:line="240" w:lineRule="auto"/>
        <w:jc w:val="both"/>
        <w:rPr>
          <w:rFonts w:hint="eastAsia" w:ascii="宋体" w:hAnsi="宋体" w:eastAsia="宋体" w:cs="宋体"/>
          <w:color w:val="auto"/>
          <w:sz w:val="24"/>
          <w:szCs w:val="24"/>
          <w:highlight w:val="green"/>
          <w:lang w:val="en-US" w:eastAsia="zh-CN"/>
        </w:rPr>
      </w:pPr>
    </w:p>
    <w:p w14:paraId="2982CDEA">
      <w:pPr>
        <w:spacing w:line="240" w:lineRule="auto"/>
        <w:jc w:val="both"/>
        <w:rPr>
          <w:rFonts w:hint="eastAsia" w:ascii="宋体" w:hAnsi="宋体" w:eastAsia="宋体" w:cs="宋体"/>
          <w:color w:val="auto"/>
          <w:sz w:val="24"/>
          <w:szCs w:val="24"/>
          <w:highlight w:val="green"/>
          <w:lang w:val="en-US" w:eastAsia="zh-CN"/>
        </w:rPr>
      </w:pPr>
      <w:r>
        <w:rPr>
          <w:rFonts w:hint="eastAsia" w:ascii="宋体" w:hAnsi="宋体" w:eastAsia="宋体" w:cs="宋体"/>
          <w:color w:val="auto"/>
          <w:sz w:val="24"/>
          <w:szCs w:val="24"/>
          <w:highlight w:val="green"/>
          <w:lang w:val="en-US" w:eastAsia="zh-CN"/>
        </w:rPr>
        <w:t>（参与报价的供应商请于2026年6月30</w:t>
      </w:r>
      <w:bookmarkStart w:id="0" w:name="_GoBack"/>
      <w:bookmarkEnd w:id="0"/>
      <w:r>
        <w:rPr>
          <w:rFonts w:hint="eastAsia" w:ascii="宋体" w:hAnsi="宋体" w:eastAsia="宋体" w:cs="宋体"/>
          <w:color w:val="auto"/>
          <w:sz w:val="24"/>
          <w:szCs w:val="24"/>
          <w:highlight w:val="green"/>
          <w:lang w:val="en-US" w:eastAsia="zh-CN"/>
        </w:rPr>
        <w:t>日9:00前，将【报价一览表】及企业资质扫描件加盖公章，发送至邮箱：</w:t>
      </w:r>
      <w:r>
        <w:rPr>
          <w:rFonts w:hint="eastAsia" w:ascii="宋体" w:hAnsi="宋体" w:eastAsia="宋体" w:cs="宋体"/>
          <w:color w:val="auto"/>
          <w:sz w:val="24"/>
          <w:szCs w:val="24"/>
          <w:highlight w:val="green"/>
          <w:lang w:val="en-US" w:eastAsia="zh-CN"/>
        </w:rPr>
        <w:fldChar w:fldCharType="begin"/>
      </w:r>
      <w:r>
        <w:rPr>
          <w:rFonts w:hint="eastAsia" w:ascii="宋体" w:hAnsi="宋体" w:eastAsia="宋体" w:cs="宋体"/>
          <w:color w:val="auto"/>
          <w:sz w:val="24"/>
          <w:szCs w:val="24"/>
          <w:highlight w:val="green"/>
          <w:lang w:val="en-US" w:eastAsia="zh-CN"/>
        </w:rPr>
        <w:instrText xml:space="preserve"> HYPERLINK "mailto:caigoubu@huh.edu.cn）" </w:instrText>
      </w:r>
      <w:r>
        <w:rPr>
          <w:rFonts w:hint="eastAsia" w:ascii="宋体" w:hAnsi="宋体" w:eastAsia="宋体" w:cs="宋体"/>
          <w:color w:val="auto"/>
          <w:sz w:val="24"/>
          <w:szCs w:val="24"/>
          <w:highlight w:val="green"/>
          <w:lang w:val="en-US" w:eastAsia="zh-CN"/>
        </w:rPr>
        <w:fldChar w:fldCharType="separate"/>
      </w:r>
      <w:r>
        <w:rPr>
          <w:rFonts w:hint="eastAsia" w:ascii="宋体" w:hAnsi="宋体" w:eastAsia="宋体" w:cs="宋体"/>
          <w:color w:val="auto"/>
          <w:sz w:val="24"/>
          <w:szCs w:val="24"/>
          <w:highlight w:val="green"/>
          <w:lang w:val="en-US" w:eastAsia="zh-CN"/>
        </w:rPr>
        <w:t>caigoubu@huh.edu.cn）</w:t>
      </w:r>
      <w:r>
        <w:rPr>
          <w:rFonts w:hint="eastAsia" w:ascii="宋体" w:hAnsi="宋体" w:eastAsia="宋体" w:cs="宋体"/>
          <w:color w:val="auto"/>
          <w:sz w:val="24"/>
          <w:szCs w:val="24"/>
          <w:highlight w:val="green"/>
          <w:lang w:val="en-US" w:eastAsia="zh-CN"/>
        </w:rPr>
        <w:fldChar w:fldCharType="end"/>
      </w:r>
    </w:p>
    <w:p w14:paraId="252074DF">
      <w:pPr>
        <w:spacing w:line="240" w:lineRule="auto"/>
        <w:jc w:val="right"/>
        <w:rPr>
          <w:rFonts w:hint="eastAsia" w:ascii="宋体" w:hAnsi="宋体" w:eastAsia="宋体" w:cs="宋体"/>
          <w:color w:val="auto"/>
          <w:sz w:val="22"/>
          <w:szCs w:val="22"/>
        </w:rPr>
      </w:pPr>
    </w:p>
    <w:sectPr>
      <w:footerReference r:id="rId5" w:type="default"/>
      <w:pgSz w:w="12240" w:h="15840"/>
      <w:pgMar w:top="780" w:right="540" w:bottom="760" w:left="920" w:header="720" w:footer="397" w:gutter="0"/>
      <w:pgNumType w:fmt="decimal"/>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ＭＳ 明朝">
    <w:altName w:val="Yu Gothic"/>
    <w:panose1 w:val="00000000000000000000"/>
    <w:charset w:val="80"/>
    <w:family w:val="roman"/>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ＭＳ 明朝">
    <w:altName w:val="宋体"/>
    <w:panose1 w:val="00000000000000000000"/>
    <w:charset w:val="86"/>
    <w:family w:val="auto"/>
    <w:pitch w:val="default"/>
    <w:sig w:usb0="00000000" w:usb1="00000000" w:usb2="00000000" w:usb3="00000000" w:csb0="00000000" w:csb1="00000000"/>
  </w:font>
  <w:font w:name="MS Gothic">
    <w:panose1 w:val="020B0609070205080204"/>
    <w:charset w:val="80"/>
    <w:family w:val="auto"/>
    <w:pitch w:val="default"/>
    <w:sig w:usb0="E00002FF" w:usb1="6AC7FDFB" w:usb2="08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677BC">
    <w:pPr>
      <w:pStyle w:val="25"/>
    </w:pPr>
    <w:r>
      <w:rPr>
        <w:sz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31ADA6">
                          <w:pPr>
                            <w:pStyle w:val="25"/>
                            <w:rPr>
                              <w:sz w:val="18"/>
                              <w:szCs w:val="18"/>
                            </w:rPr>
                          </w:pPr>
                          <w:r>
                            <w:rPr>
                              <w:sz w:val="18"/>
                              <w:szCs w:val="18"/>
                            </w:rPr>
                            <w:t xml:space="preserve">第 </w:t>
                          </w:r>
                          <w:r>
                            <w:rPr>
                              <w:sz w:val="18"/>
                              <w:szCs w:val="18"/>
                            </w:rPr>
                            <w:fldChar w:fldCharType="begin"/>
                          </w:r>
                          <w:r>
                            <w:rPr>
                              <w:sz w:val="18"/>
                              <w:szCs w:val="18"/>
                            </w:rPr>
                            <w:instrText xml:space="preserve"> PAGE  \* MERGEFORMAT </w:instrText>
                          </w:r>
                          <w:r>
                            <w:rPr>
                              <w:sz w:val="18"/>
                              <w:szCs w:val="18"/>
                            </w:rPr>
                            <w:fldChar w:fldCharType="separate"/>
                          </w:r>
                          <w:r>
                            <w:rPr>
                              <w:sz w:val="18"/>
                              <w:szCs w:val="18"/>
                            </w:rPr>
                            <w:t>1</w:t>
                          </w:r>
                          <w:r>
                            <w:rPr>
                              <w:sz w:val="18"/>
                              <w:szCs w:val="18"/>
                            </w:rPr>
                            <w:fldChar w:fldCharType="end"/>
                          </w:r>
                          <w:r>
                            <w:rPr>
                              <w:sz w:val="18"/>
                              <w:szCs w:val="18"/>
                            </w:rPr>
                            <w:t xml:space="preserve"> 页 共 </w:t>
                          </w:r>
                          <w:r>
                            <w:rPr>
                              <w:sz w:val="18"/>
                              <w:szCs w:val="18"/>
                            </w:rPr>
                            <w:fldChar w:fldCharType="begin"/>
                          </w:r>
                          <w:r>
                            <w:rPr>
                              <w:sz w:val="18"/>
                              <w:szCs w:val="18"/>
                            </w:rPr>
                            <w:instrText xml:space="preserve"> NUMPAGES  \* MERGEFORMAT </w:instrText>
                          </w:r>
                          <w:r>
                            <w:rPr>
                              <w:sz w:val="18"/>
                              <w:szCs w:val="18"/>
                            </w:rPr>
                            <w:fldChar w:fldCharType="separate"/>
                          </w:r>
                          <w:r>
                            <w:rPr>
                              <w:sz w:val="18"/>
                              <w:szCs w:val="18"/>
                            </w:rPr>
                            <w:t>4</w:t>
                          </w:r>
                          <w:r>
                            <w:rPr>
                              <w:sz w:val="18"/>
                              <w:szCs w:val="18"/>
                            </w:rPr>
                            <w:fldChar w:fldCharType="end"/>
                          </w:r>
                          <w:r>
                            <w:rPr>
                              <w:sz w:val="18"/>
                              <w:szCs w:val="1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731ADA6">
                    <w:pPr>
                      <w:pStyle w:val="25"/>
                      <w:rPr>
                        <w:sz w:val="18"/>
                        <w:szCs w:val="18"/>
                      </w:rPr>
                    </w:pPr>
                    <w:r>
                      <w:rPr>
                        <w:sz w:val="18"/>
                        <w:szCs w:val="18"/>
                      </w:rPr>
                      <w:t xml:space="preserve">第 </w:t>
                    </w:r>
                    <w:r>
                      <w:rPr>
                        <w:sz w:val="18"/>
                        <w:szCs w:val="18"/>
                      </w:rPr>
                      <w:fldChar w:fldCharType="begin"/>
                    </w:r>
                    <w:r>
                      <w:rPr>
                        <w:sz w:val="18"/>
                        <w:szCs w:val="18"/>
                      </w:rPr>
                      <w:instrText xml:space="preserve"> PAGE  \* MERGEFORMAT </w:instrText>
                    </w:r>
                    <w:r>
                      <w:rPr>
                        <w:sz w:val="18"/>
                        <w:szCs w:val="18"/>
                      </w:rPr>
                      <w:fldChar w:fldCharType="separate"/>
                    </w:r>
                    <w:r>
                      <w:rPr>
                        <w:sz w:val="18"/>
                        <w:szCs w:val="18"/>
                      </w:rPr>
                      <w:t>1</w:t>
                    </w:r>
                    <w:r>
                      <w:rPr>
                        <w:sz w:val="18"/>
                        <w:szCs w:val="18"/>
                      </w:rPr>
                      <w:fldChar w:fldCharType="end"/>
                    </w:r>
                    <w:r>
                      <w:rPr>
                        <w:sz w:val="18"/>
                        <w:szCs w:val="18"/>
                      </w:rPr>
                      <w:t xml:space="preserve"> 页 共 </w:t>
                    </w:r>
                    <w:r>
                      <w:rPr>
                        <w:sz w:val="18"/>
                        <w:szCs w:val="18"/>
                      </w:rPr>
                      <w:fldChar w:fldCharType="begin"/>
                    </w:r>
                    <w:r>
                      <w:rPr>
                        <w:sz w:val="18"/>
                        <w:szCs w:val="18"/>
                      </w:rPr>
                      <w:instrText xml:space="preserve"> NUMPAGES  \* MERGEFORMAT </w:instrText>
                    </w:r>
                    <w:r>
                      <w:rPr>
                        <w:sz w:val="18"/>
                        <w:szCs w:val="18"/>
                      </w:rPr>
                      <w:fldChar w:fldCharType="separate"/>
                    </w:r>
                    <w:r>
                      <w:rPr>
                        <w:sz w:val="18"/>
                        <w:szCs w:val="18"/>
                      </w:rPr>
                      <w:t>4</w:t>
                    </w:r>
                    <w:r>
                      <w:rPr>
                        <w:sz w:val="18"/>
                        <w:szCs w:val="18"/>
                      </w:rPr>
                      <w:fldChar w:fldCharType="end"/>
                    </w:r>
                    <w:r>
                      <w:rPr>
                        <w:sz w:val="18"/>
                        <w:szCs w:val="18"/>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1"/>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4"/>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0285730E"/>
    <w:rsid w:val="032F04D8"/>
    <w:rsid w:val="046968D7"/>
    <w:rsid w:val="0DDA04B0"/>
    <w:rsid w:val="0ED175CE"/>
    <w:rsid w:val="11C6025A"/>
    <w:rsid w:val="12CC7AF2"/>
    <w:rsid w:val="12DE7825"/>
    <w:rsid w:val="15127AB3"/>
    <w:rsid w:val="1A815D2D"/>
    <w:rsid w:val="1F972C71"/>
    <w:rsid w:val="2E1C2EB0"/>
    <w:rsid w:val="31CC4FC0"/>
    <w:rsid w:val="37685905"/>
    <w:rsid w:val="38027AD9"/>
    <w:rsid w:val="394536F4"/>
    <w:rsid w:val="3A6571F9"/>
    <w:rsid w:val="3E907376"/>
    <w:rsid w:val="48096FCC"/>
    <w:rsid w:val="4A8731DA"/>
    <w:rsid w:val="4C7107E7"/>
    <w:rsid w:val="50EE73C8"/>
    <w:rsid w:val="592B747B"/>
    <w:rsid w:val="59BD4483"/>
    <w:rsid w:val="5F4B136B"/>
    <w:rsid w:val="65402FF4"/>
    <w:rsid w:val="656F7435"/>
    <w:rsid w:val="6B1B3A43"/>
    <w:rsid w:val="6CE626D3"/>
    <w:rsid w:val="6F0301A9"/>
    <w:rsid w:val="726F09D5"/>
    <w:rsid w:val="73F12317"/>
    <w:rsid w:val="76EA7241"/>
    <w:rsid w:val="781223C7"/>
    <w:rsid w:val="7B000E04"/>
    <w:rsid w:val="7D851A94"/>
    <w:rsid w:val="7D9F66B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3">
    <w:name w:val="heading 1"/>
    <w:basedOn w:val="1"/>
    <w:next w:val="1"/>
    <w:link w:val="141"/>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42"/>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3"/>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3"/>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4"/>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5"/>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6"/>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7"/>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8"/>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4">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2">
    <w:name w:val="macro"/>
    <w:link w:val="150"/>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Body Text 3"/>
    <w:basedOn w:val="1"/>
    <w:link w:val="149"/>
    <w:unhideWhenUsed/>
    <w:qFormat/>
    <w:uiPriority w:val="99"/>
    <w:pPr>
      <w:spacing w:after="120"/>
    </w:pPr>
    <w:rPr>
      <w:sz w:val="16"/>
      <w:szCs w:val="16"/>
    </w:rPr>
  </w:style>
  <w:style w:type="paragraph" w:styleId="18">
    <w:name w:val="List Bullet 3"/>
    <w:basedOn w:val="1"/>
    <w:unhideWhenUsed/>
    <w:qFormat/>
    <w:uiPriority w:val="99"/>
    <w:pPr>
      <w:numPr>
        <w:ilvl w:val="0"/>
        <w:numId w:val="4"/>
      </w:numPr>
      <w:contextualSpacing/>
    </w:pPr>
  </w:style>
  <w:style w:type="paragraph" w:styleId="19">
    <w:name w:val="Body Text"/>
    <w:basedOn w:val="1"/>
    <w:link w:val="147"/>
    <w:unhideWhenUsed/>
    <w:qFormat/>
    <w:uiPriority w:val="99"/>
    <w:pPr>
      <w:spacing w:after="120"/>
    </w:pPr>
  </w:style>
  <w:style w:type="paragraph" w:styleId="20">
    <w:name w:val="Body Text Indent"/>
    <w:basedOn w:val="1"/>
    <w:qFormat/>
    <w:uiPriority w:val="0"/>
    <w:pPr>
      <w:ind w:firstLine="570"/>
    </w:pPr>
    <w:rPr>
      <w:sz w:val="28"/>
      <w:szCs w:val="20"/>
    </w:rPr>
  </w:style>
  <w:style w:type="paragraph" w:styleId="21">
    <w:name w:val="List Number 3"/>
    <w:basedOn w:val="1"/>
    <w:unhideWhenUsed/>
    <w:qFormat/>
    <w:uiPriority w:val="99"/>
    <w:pPr>
      <w:numPr>
        <w:ilvl w:val="0"/>
        <w:numId w:val="5"/>
      </w:numPr>
      <w:contextualSpacing/>
    </w:pPr>
  </w:style>
  <w:style w:type="paragraph" w:styleId="22">
    <w:name w:val="List 2"/>
    <w:basedOn w:val="1"/>
    <w:unhideWhenUsed/>
    <w:qFormat/>
    <w:uiPriority w:val="99"/>
    <w:pPr>
      <w:ind w:left="720" w:hanging="360"/>
      <w:contextualSpacing/>
    </w:pPr>
  </w:style>
  <w:style w:type="paragraph" w:styleId="23">
    <w:name w:val="List Continue"/>
    <w:basedOn w:val="1"/>
    <w:unhideWhenUsed/>
    <w:qFormat/>
    <w:uiPriority w:val="99"/>
    <w:pPr>
      <w:spacing w:after="120"/>
      <w:ind w:left="360"/>
      <w:contextualSpacing/>
    </w:pPr>
  </w:style>
  <w:style w:type="paragraph" w:styleId="24">
    <w:name w:val="List Bullet 2"/>
    <w:basedOn w:val="1"/>
    <w:unhideWhenUsed/>
    <w:qFormat/>
    <w:uiPriority w:val="99"/>
    <w:pPr>
      <w:numPr>
        <w:ilvl w:val="0"/>
        <w:numId w:val="6"/>
      </w:numPr>
      <w:contextualSpacing/>
    </w:pPr>
  </w:style>
  <w:style w:type="paragraph" w:styleId="25">
    <w:name w:val="footer"/>
    <w:basedOn w:val="1"/>
    <w:link w:val="139"/>
    <w:unhideWhenUsed/>
    <w:qFormat/>
    <w:uiPriority w:val="99"/>
    <w:pPr>
      <w:tabs>
        <w:tab w:val="center" w:pos="4680"/>
        <w:tab w:val="right" w:pos="9360"/>
      </w:tabs>
      <w:spacing w:after="0" w:line="240" w:lineRule="auto"/>
    </w:pPr>
  </w:style>
  <w:style w:type="paragraph" w:styleId="26">
    <w:name w:val="header"/>
    <w:basedOn w:val="1"/>
    <w:link w:val="138"/>
    <w:unhideWhenUsed/>
    <w:qFormat/>
    <w:uiPriority w:val="99"/>
    <w:pPr>
      <w:tabs>
        <w:tab w:val="center" w:pos="4680"/>
        <w:tab w:val="right" w:pos="9360"/>
      </w:tabs>
      <w:spacing w:after="0" w:line="240" w:lineRule="auto"/>
    </w:pPr>
  </w:style>
  <w:style w:type="paragraph" w:styleId="27">
    <w:name w:val="Subtitle"/>
    <w:basedOn w:val="1"/>
    <w:next w:val="1"/>
    <w:link w:val="145"/>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8">
    <w:name w:val="List"/>
    <w:basedOn w:val="1"/>
    <w:unhideWhenUsed/>
    <w:qFormat/>
    <w:uiPriority w:val="99"/>
    <w:pPr>
      <w:ind w:left="360" w:hanging="360"/>
      <w:contextualSpacing/>
    </w:pPr>
  </w:style>
  <w:style w:type="paragraph" w:styleId="29">
    <w:name w:val="Body Text 2"/>
    <w:basedOn w:val="1"/>
    <w:link w:val="148"/>
    <w:unhideWhenUsed/>
    <w:qFormat/>
    <w:uiPriority w:val="99"/>
    <w:pPr>
      <w:spacing w:after="120" w:line="480" w:lineRule="auto"/>
    </w:pPr>
  </w:style>
  <w:style w:type="paragraph" w:styleId="30">
    <w:name w:val="List Continue 2"/>
    <w:basedOn w:val="1"/>
    <w:unhideWhenUsed/>
    <w:qFormat/>
    <w:uiPriority w:val="99"/>
    <w:pPr>
      <w:spacing w:after="120"/>
      <w:ind w:left="720"/>
      <w:contextualSpacing/>
    </w:pPr>
  </w:style>
  <w:style w:type="paragraph" w:styleId="31">
    <w:name w:val="List Continue 3"/>
    <w:basedOn w:val="1"/>
    <w:unhideWhenUsed/>
    <w:qFormat/>
    <w:uiPriority w:val="99"/>
    <w:pPr>
      <w:spacing w:after="120"/>
      <w:ind w:left="1080"/>
      <w:contextualSpacing/>
    </w:pPr>
  </w:style>
  <w:style w:type="paragraph" w:styleId="32">
    <w:name w:val="Title"/>
    <w:basedOn w:val="1"/>
    <w:next w:val="1"/>
    <w:link w:val="144"/>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paragraph" w:styleId="33">
    <w:name w:val="Body Text First Indent 2"/>
    <w:basedOn w:val="20"/>
    <w:qFormat/>
    <w:uiPriority w:val="0"/>
    <w:pPr>
      <w:ind w:firstLine="420" w:firstLineChars="200"/>
    </w:pPr>
  </w:style>
  <w:style w:type="table" w:styleId="35">
    <w:name w:val="Table Grid"/>
    <w:basedOn w:val="34"/>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6">
    <w:name w:val="Light Shading"/>
    <w:basedOn w:val="34"/>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7">
    <w:name w:val="Light Shading Accent 1"/>
    <w:basedOn w:val="34"/>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8">
    <w:name w:val="Light Shading Accent 2"/>
    <w:basedOn w:val="34"/>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9">
    <w:name w:val="Light Shading Accent 3"/>
    <w:basedOn w:val="34"/>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0">
    <w:name w:val="Light Shading Accent 4"/>
    <w:basedOn w:val="34"/>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41">
    <w:name w:val="Light Shading Accent 5"/>
    <w:basedOn w:val="34"/>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2">
    <w:name w:val="Light Shading Accent 6"/>
    <w:basedOn w:val="34"/>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3">
    <w:name w:val="Light List"/>
    <w:basedOn w:val="34"/>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4">
    <w:name w:val="Light List Accent 1"/>
    <w:basedOn w:val="34"/>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5">
    <w:name w:val="Light List Accent 2"/>
    <w:basedOn w:val="34"/>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6">
    <w:name w:val="Light List Accent 3"/>
    <w:basedOn w:val="34"/>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7">
    <w:name w:val="Light List Accent 4"/>
    <w:basedOn w:val="34"/>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8">
    <w:name w:val="Light List Accent 5"/>
    <w:basedOn w:val="34"/>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9">
    <w:name w:val="Light List Accent 6"/>
    <w:basedOn w:val="34"/>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50">
    <w:name w:val="Light Grid"/>
    <w:basedOn w:val="34"/>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51">
    <w:name w:val="Light Grid Accent 1"/>
    <w:basedOn w:val="34"/>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2">
    <w:name w:val="Light Grid Accent 2"/>
    <w:basedOn w:val="34"/>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3">
    <w:name w:val="Light Grid Accent 3"/>
    <w:basedOn w:val="34"/>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4">
    <w:name w:val="Light Grid Accent 4"/>
    <w:basedOn w:val="34"/>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5">
    <w:name w:val="Light Grid Accent 5"/>
    <w:basedOn w:val="34"/>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6">
    <w:name w:val="Light Grid Accent 6"/>
    <w:basedOn w:val="34"/>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7">
    <w:name w:val="Medium Shading 1"/>
    <w:basedOn w:val="34"/>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8">
    <w:name w:val="Medium Shading 1 Accent 1"/>
    <w:basedOn w:val="34"/>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9">
    <w:name w:val="Medium Shading 1 Accent 2"/>
    <w:basedOn w:val="34"/>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60">
    <w:name w:val="Medium Shading 1 Accent 3"/>
    <w:basedOn w:val="34"/>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61">
    <w:name w:val="Medium Shading 1 Accent 4"/>
    <w:basedOn w:val="34"/>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2">
    <w:name w:val="Medium Shading 1 Accent 5"/>
    <w:basedOn w:val="34"/>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3">
    <w:name w:val="Medium Shading 1 Accent 6"/>
    <w:basedOn w:val="34"/>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4">
    <w:name w:val="Medium Shading 2"/>
    <w:basedOn w:val="34"/>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1"/>
    <w:basedOn w:val="34"/>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2"/>
    <w:basedOn w:val="34"/>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3"/>
    <w:basedOn w:val="34"/>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4"/>
    <w:basedOn w:val="34"/>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Shading 2 Accent 5"/>
    <w:basedOn w:val="34"/>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0">
    <w:name w:val="Medium Shading 2 Accent 6"/>
    <w:basedOn w:val="34"/>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1">
    <w:name w:val="Medium List 1"/>
    <w:basedOn w:val="34"/>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2">
    <w:name w:val="Medium List 1 Accent 1"/>
    <w:basedOn w:val="34"/>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3">
    <w:name w:val="Medium List 1 Accent 2"/>
    <w:basedOn w:val="34"/>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4">
    <w:name w:val="Medium List 1 Accent 3"/>
    <w:basedOn w:val="34"/>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5">
    <w:name w:val="Medium List 1 Accent 4"/>
    <w:basedOn w:val="34"/>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6">
    <w:name w:val="Medium List 1 Accent 5"/>
    <w:basedOn w:val="34"/>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7">
    <w:name w:val="Medium List 1 Accent 6"/>
    <w:basedOn w:val="34"/>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8">
    <w:name w:val="Medium List 2"/>
    <w:basedOn w:val="34"/>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1"/>
    <w:basedOn w:val="34"/>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2"/>
    <w:basedOn w:val="34"/>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3"/>
    <w:basedOn w:val="34"/>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4"/>
    <w:basedOn w:val="34"/>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List 2 Accent 5"/>
    <w:basedOn w:val="34"/>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4">
    <w:name w:val="Medium List 2 Accent 6"/>
    <w:basedOn w:val="34"/>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5">
    <w:name w:val="Medium Grid 1"/>
    <w:basedOn w:val="34"/>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6">
    <w:name w:val="Medium Grid 1 Accent 1"/>
    <w:basedOn w:val="34"/>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7">
    <w:name w:val="Medium Grid 1 Accent 2"/>
    <w:basedOn w:val="34"/>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8">
    <w:name w:val="Medium Grid 1 Accent 3"/>
    <w:basedOn w:val="34"/>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9">
    <w:name w:val="Medium Grid 1 Accent 4"/>
    <w:basedOn w:val="34"/>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90">
    <w:name w:val="Medium Grid 1 Accent 5"/>
    <w:basedOn w:val="34"/>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91">
    <w:name w:val="Medium Grid 1 Accent 6"/>
    <w:basedOn w:val="34"/>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2">
    <w:name w:val="Medium Grid 2"/>
    <w:basedOn w:val="34"/>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3">
    <w:name w:val="Medium Grid 2 Accent 1"/>
    <w:basedOn w:val="34"/>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4">
    <w:name w:val="Medium Grid 2 Accent 2"/>
    <w:basedOn w:val="34"/>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5">
    <w:name w:val="Medium Grid 2 Accent 3"/>
    <w:basedOn w:val="34"/>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6">
    <w:name w:val="Medium Grid 2 Accent 4"/>
    <w:basedOn w:val="34"/>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7">
    <w:name w:val="Medium Grid 2 Accent 5"/>
    <w:basedOn w:val="34"/>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8">
    <w:name w:val="Medium Grid 2 Accent 6"/>
    <w:basedOn w:val="34"/>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9">
    <w:name w:val="Medium Grid 3"/>
    <w:basedOn w:val="34"/>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00">
    <w:name w:val="Medium Grid 3 Accent 1"/>
    <w:basedOn w:val="34"/>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01">
    <w:name w:val="Medium Grid 3 Accent 2"/>
    <w:basedOn w:val="34"/>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2">
    <w:name w:val="Medium Grid 3 Accent 3"/>
    <w:basedOn w:val="34"/>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3">
    <w:name w:val="Medium Grid 3 Accent 4"/>
    <w:basedOn w:val="34"/>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4">
    <w:name w:val="Medium Grid 3 Accent 5"/>
    <w:basedOn w:val="34"/>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5">
    <w:name w:val="Medium Grid 3 Accent 6"/>
    <w:basedOn w:val="34"/>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6">
    <w:name w:val="Dark List"/>
    <w:basedOn w:val="34"/>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7">
    <w:name w:val="Dark List Accent 1"/>
    <w:basedOn w:val="34"/>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8">
    <w:name w:val="Dark List Accent 2"/>
    <w:basedOn w:val="34"/>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9">
    <w:name w:val="Dark List Accent 3"/>
    <w:basedOn w:val="34"/>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0">
    <w:name w:val="Dark List Accent 4"/>
    <w:basedOn w:val="34"/>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1">
    <w:name w:val="Dark List Accent 5"/>
    <w:basedOn w:val="34"/>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2">
    <w:name w:val="Dark List Accent 6"/>
    <w:basedOn w:val="34"/>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3">
    <w:name w:val="Colorful Shading"/>
    <w:basedOn w:val="34"/>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1"/>
    <w:basedOn w:val="34"/>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5">
    <w:name w:val="Colorful Shading Accent 2"/>
    <w:basedOn w:val="34"/>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3"/>
    <w:basedOn w:val="34"/>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7">
    <w:name w:val="Colorful Shading Accent 4"/>
    <w:basedOn w:val="34"/>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Shading Accent 5"/>
    <w:basedOn w:val="34"/>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9">
    <w:name w:val="Colorful Shading Accent 6"/>
    <w:basedOn w:val="34"/>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0">
    <w:name w:val="Colorful List"/>
    <w:basedOn w:val="34"/>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21">
    <w:name w:val="Colorful List Accent 1"/>
    <w:basedOn w:val="34"/>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2">
    <w:name w:val="Colorful List Accent 2"/>
    <w:basedOn w:val="34"/>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3">
    <w:name w:val="Colorful List Accent 3"/>
    <w:basedOn w:val="34"/>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4">
    <w:name w:val="Colorful List Accent 4"/>
    <w:basedOn w:val="34"/>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5">
    <w:name w:val="Colorful List Accent 5"/>
    <w:basedOn w:val="34"/>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6">
    <w:name w:val="Colorful List Accent 6"/>
    <w:basedOn w:val="34"/>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7">
    <w:name w:val="Colorful Grid"/>
    <w:basedOn w:val="34"/>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8">
    <w:name w:val="Colorful Grid Accent 1"/>
    <w:basedOn w:val="34"/>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9">
    <w:name w:val="Colorful Grid Accent 2"/>
    <w:basedOn w:val="34"/>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0">
    <w:name w:val="Colorful Grid Accent 3"/>
    <w:basedOn w:val="34"/>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31">
    <w:name w:val="Colorful Grid Accent 4"/>
    <w:basedOn w:val="34"/>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2">
    <w:name w:val="Colorful Grid Accent 5"/>
    <w:basedOn w:val="34"/>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3">
    <w:name w:val="Colorful Grid Accent 6"/>
    <w:basedOn w:val="34"/>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5">
    <w:name w:val="Strong"/>
    <w:basedOn w:val="134"/>
    <w:qFormat/>
    <w:uiPriority w:val="22"/>
    <w:rPr>
      <w:b/>
      <w:bCs/>
    </w:rPr>
  </w:style>
  <w:style w:type="character" w:styleId="136">
    <w:name w:val="Emphasis"/>
    <w:basedOn w:val="134"/>
    <w:qFormat/>
    <w:uiPriority w:val="20"/>
    <w:rPr>
      <w:i/>
      <w:iCs/>
    </w:rPr>
  </w:style>
  <w:style w:type="character" w:styleId="137">
    <w:name w:val="Hyperlink"/>
    <w:basedOn w:val="134"/>
    <w:qFormat/>
    <w:uiPriority w:val="0"/>
    <w:rPr>
      <w:color w:val="0000FF"/>
      <w:u w:val="single"/>
    </w:rPr>
  </w:style>
  <w:style w:type="character" w:customStyle="1" w:styleId="138">
    <w:name w:val="Header Char"/>
    <w:basedOn w:val="134"/>
    <w:link w:val="26"/>
    <w:qFormat/>
    <w:uiPriority w:val="99"/>
  </w:style>
  <w:style w:type="character" w:customStyle="1" w:styleId="139">
    <w:name w:val="Footer Char"/>
    <w:basedOn w:val="134"/>
    <w:link w:val="25"/>
    <w:qFormat/>
    <w:uiPriority w:val="99"/>
  </w:style>
  <w:style w:type="paragraph" w:styleId="140">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41">
    <w:name w:val="Heading 1 Char"/>
    <w:basedOn w:val="134"/>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142">
    <w:name w:val="Heading 2 Char"/>
    <w:basedOn w:val="134"/>
    <w:link w:val="4"/>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3">
    <w:name w:val="Heading 3 Char"/>
    <w:basedOn w:val="134"/>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4">
    <w:name w:val="Title Char"/>
    <w:basedOn w:val="134"/>
    <w:link w:val="32"/>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5">
    <w:name w:val="Subtitle Char"/>
    <w:basedOn w:val="134"/>
    <w:link w:val="27"/>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6">
    <w:name w:val="List Paragraph"/>
    <w:basedOn w:val="1"/>
    <w:qFormat/>
    <w:uiPriority w:val="34"/>
    <w:pPr>
      <w:ind w:left="720"/>
      <w:contextualSpacing/>
    </w:pPr>
  </w:style>
  <w:style w:type="character" w:customStyle="1" w:styleId="147">
    <w:name w:val="Body Text Char"/>
    <w:basedOn w:val="134"/>
    <w:link w:val="19"/>
    <w:qFormat/>
    <w:uiPriority w:val="99"/>
  </w:style>
  <w:style w:type="character" w:customStyle="1" w:styleId="148">
    <w:name w:val="Body Text 2 Char"/>
    <w:basedOn w:val="134"/>
    <w:link w:val="29"/>
    <w:qFormat/>
    <w:uiPriority w:val="99"/>
  </w:style>
  <w:style w:type="character" w:customStyle="1" w:styleId="149">
    <w:name w:val="Body Text 3 Char"/>
    <w:basedOn w:val="134"/>
    <w:link w:val="17"/>
    <w:qFormat/>
    <w:uiPriority w:val="99"/>
    <w:rPr>
      <w:sz w:val="16"/>
      <w:szCs w:val="16"/>
    </w:rPr>
  </w:style>
  <w:style w:type="character" w:customStyle="1" w:styleId="150">
    <w:name w:val="Macro Text Char"/>
    <w:basedOn w:val="134"/>
    <w:link w:val="2"/>
    <w:qFormat/>
    <w:uiPriority w:val="99"/>
    <w:rPr>
      <w:rFonts w:ascii="Courier" w:hAnsi="Courier"/>
      <w:sz w:val="20"/>
      <w:szCs w:val="20"/>
    </w:rPr>
  </w:style>
  <w:style w:type="paragraph" w:styleId="151">
    <w:name w:val="Quote"/>
    <w:basedOn w:val="1"/>
    <w:next w:val="1"/>
    <w:link w:val="152"/>
    <w:qFormat/>
    <w:uiPriority w:val="29"/>
    <w:rPr>
      <w:i/>
      <w:iCs/>
      <w:color w:val="000000" w:themeColor="text1"/>
      <w14:textFill>
        <w14:solidFill>
          <w14:schemeClr w14:val="tx1"/>
        </w14:solidFill>
      </w14:textFill>
    </w:rPr>
  </w:style>
  <w:style w:type="character" w:customStyle="1" w:styleId="152">
    <w:name w:val="Quote Char"/>
    <w:basedOn w:val="134"/>
    <w:link w:val="151"/>
    <w:qFormat/>
    <w:uiPriority w:val="29"/>
    <w:rPr>
      <w:i/>
      <w:iCs/>
      <w:color w:val="000000" w:themeColor="text1"/>
      <w14:textFill>
        <w14:solidFill>
          <w14:schemeClr w14:val="tx1"/>
        </w14:solidFill>
      </w14:textFill>
    </w:rPr>
  </w:style>
  <w:style w:type="character" w:customStyle="1" w:styleId="153">
    <w:name w:val="Heading 4 Char"/>
    <w:basedOn w:val="134"/>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4">
    <w:name w:val="Heading 5 Char"/>
    <w:basedOn w:val="134"/>
    <w:link w:val="7"/>
    <w:semiHidden/>
    <w:qFormat/>
    <w:uiPriority w:val="9"/>
    <w:rPr>
      <w:rFonts w:asciiTheme="majorHAnsi" w:hAnsiTheme="majorHAnsi" w:eastAsiaTheme="majorEastAsia" w:cstheme="majorBidi"/>
      <w:color w:val="254061" w:themeColor="accent1" w:themeShade="80"/>
    </w:rPr>
  </w:style>
  <w:style w:type="character" w:customStyle="1" w:styleId="155">
    <w:name w:val="Heading 6 Char"/>
    <w:basedOn w:val="134"/>
    <w:link w:val="8"/>
    <w:semiHidden/>
    <w:qFormat/>
    <w:uiPriority w:val="9"/>
    <w:rPr>
      <w:rFonts w:asciiTheme="majorHAnsi" w:hAnsiTheme="majorHAnsi" w:eastAsiaTheme="majorEastAsia" w:cstheme="majorBidi"/>
      <w:i/>
      <w:iCs/>
      <w:color w:val="254061" w:themeColor="accent1" w:themeShade="80"/>
    </w:rPr>
  </w:style>
  <w:style w:type="character" w:customStyle="1" w:styleId="156">
    <w:name w:val="Heading 7 Char"/>
    <w:basedOn w:val="134"/>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7">
    <w:name w:val="Heading 8 Char"/>
    <w:basedOn w:val="134"/>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8">
    <w:name w:val="Heading 9 Char"/>
    <w:basedOn w:val="134"/>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9">
    <w:name w:val="Intense Quote"/>
    <w:basedOn w:val="1"/>
    <w:next w:val="1"/>
    <w:link w:val="160"/>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60">
    <w:name w:val="Intense Quote Char"/>
    <w:basedOn w:val="134"/>
    <w:link w:val="159"/>
    <w:qFormat/>
    <w:uiPriority w:val="30"/>
    <w:rPr>
      <w:b/>
      <w:bCs/>
      <w:i/>
      <w:iCs/>
      <w:color w:val="4F81BD" w:themeColor="accent1"/>
      <w14:textFill>
        <w14:solidFill>
          <w14:schemeClr w14:val="accent1"/>
        </w14:solidFill>
      </w14:textFill>
    </w:rPr>
  </w:style>
  <w:style w:type="character" w:customStyle="1" w:styleId="161">
    <w:name w:val="Subtle Emphasis"/>
    <w:basedOn w:val="134"/>
    <w:qFormat/>
    <w:uiPriority w:val="19"/>
    <w:rPr>
      <w:i/>
      <w:iCs/>
      <w:color w:val="808080" w:themeColor="text1" w:themeTint="80"/>
      <w14:textFill>
        <w14:solidFill>
          <w14:schemeClr w14:val="tx1">
            <w14:lumMod w14:val="50000"/>
            <w14:lumOff w14:val="50000"/>
          </w14:schemeClr>
        </w14:solidFill>
      </w14:textFill>
    </w:rPr>
  </w:style>
  <w:style w:type="character" w:customStyle="1" w:styleId="162">
    <w:name w:val="Intense Emphasis"/>
    <w:basedOn w:val="134"/>
    <w:qFormat/>
    <w:uiPriority w:val="21"/>
    <w:rPr>
      <w:b/>
      <w:bCs/>
      <w:i/>
      <w:iCs/>
      <w:color w:val="4F81BD" w:themeColor="accent1"/>
      <w14:textFill>
        <w14:solidFill>
          <w14:schemeClr w14:val="accent1"/>
        </w14:solidFill>
      </w14:textFill>
    </w:rPr>
  </w:style>
  <w:style w:type="character" w:customStyle="1" w:styleId="163">
    <w:name w:val="Subtle Reference"/>
    <w:basedOn w:val="134"/>
    <w:qFormat/>
    <w:uiPriority w:val="31"/>
    <w:rPr>
      <w:smallCaps/>
      <w:color w:val="C0504D" w:themeColor="accent2"/>
      <w:u w:val="single"/>
      <w14:textFill>
        <w14:solidFill>
          <w14:schemeClr w14:val="accent2"/>
        </w14:solidFill>
      </w14:textFill>
    </w:rPr>
  </w:style>
  <w:style w:type="character" w:customStyle="1" w:styleId="164">
    <w:name w:val="Intense Reference"/>
    <w:basedOn w:val="134"/>
    <w:qFormat/>
    <w:uiPriority w:val="32"/>
    <w:rPr>
      <w:b/>
      <w:bCs/>
      <w:smallCaps/>
      <w:color w:val="C0504D" w:themeColor="accent2"/>
      <w:spacing w:val="5"/>
      <w:u w:val="single"/>
      <w14:textFill>
        <w14:solidFill>
          <w14:schemeClr w14:val="accent2"/>
        </w14:solidFill>
      </w14:textFill>
    </w:rPr>
  </w:style>
  <w:style w:type="character" w:customStyle="1" w:styleId="165">
    <w:name w:val="Book Title"/>
    <w:basedOn w:val="134"/>
    <w:qFormat/>
    <w:uiPriority w:val="33"/>
    <w:rPr>
      <w:b/>
      <w:bCs/>
      <w:smallCaps/>
      <w:spacing w:val="5"/>
    </w:rPr>
  </w:style>
  <w:style w:type="paragraph" w:customStyle="1" w:styleId="166">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2552</Words>
  <Characters>2634</Characters>
  <Lines>0</Lines>
  <Paragraphs>0</Paragraphs>
  <TotalTime>4</TotalTime>
  <ScaleCrop>false</ScaleCrop>
  <LinksUpToDate>false</LinksUpToDate>
  <CharactersWithSpaces>2649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YImo</cp:lastModifiedBy>
  <dcterms:modified xsi:type="dcterms:W3CDTF">2026-06-22T02:54:40Z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IGC">
    <vt:lpwstr>{"Label":"1","ContentProducer":"001191440300708461136T1IVWN","ProduceID":"cab0062653e7d8b7d232511af606f876-iowfhjfw4b6f3nrqgotagbpkwj4tfegtdwzqn3w4","ReservedCode1":"{\"Type\":\" TC260PG\",\"Version\":1,\"Bindings\":[{\"Type\":\"soft\",\"AlgID\":\"sm3\",\"Value\":\"603fac1270efd31c8f1ef8dc85dbd2a2f8ce313a80f0e3ebe1e4b2ded242139b\"},{\"Type\":\"hash\",\"AlgID\":\"sm3\",\"Value\":\"f6b6cfc3720aaf443c975fab429893d5f2cc10157efd8d6f87772922bee9527a\"}],\"PubSD\":[{\"Type\":\"DS\",\"AlgID\":\"sm2\",\"TBSData\":{\"Type\":\"Binding\",\"BType\":\"hash\"},\"Signature\":\"304502204cac2dec19ed04a496d7bf32370c53d20ab9f511edadd1042dc98b1e70c6033d022100cf9a3ea00ed3122e5ccaac3bd61355f2b68c7da0fdecb1c5498a62faeb8732af\"},{\"Type\":\"PubKey\",\"AlgID\":\"sm2\",\"KeyValue\":\"0407f79b28a17a752b3aae4305c98b48978213832729a2571850b1310b2bc9fe8fee039ccf25ebfeac27502414d9fcef792d777183c98893d226171c2f7a3289a2\"}],\"Extension\":{\"Timestamp\":1775538706,\"KeyVersion\":\"v1-Owd2uMESYLo311\"}}","ContentPropagator":"001191440300708461136T1IVWN","PropagateID":"cab0062653e7d8b7d232511af606f876-iowfhjfw4b6f3nrqgotagbpkwj4tfegtdwzqn3w4","ReservedCode2":"{\"Type\":\" TC260PG\",\"Version\":1,\"Bindings\":[{\"Type\":\"soft\",\"AlgID\":\"sm3\",\"Value\":\"603fac1270efd31c8f1ef8dc85dbd2a2f8ce313a80f0e3ebe1e4b2ded242139b\"},{\"Type\":\"hash\",\"AlgID\":\"sm3\",\"Value\":\"f6b6cfc3720aaf443c975fab429893d5f2cc10157efd8d6f87772922bee9527a\"}],\"PubSD\":[{\"Type\":\"DS\",\"AlgID\":\"sm2\",\"TBSData\":{\"Type\":\"Binding\",\"BType\":\"hash\"},\"Signature\":\"304502205c7f63d788a4979be557c4ccade3d1d286171a8238756dccd6641818e9de6ef2022100b08324c3712c2c0c9146d98cd15a33f934e593d7c7ae53711823f58cf0fbb98d\"},{\"Type\":\"PubKey\",\"AlgID\":\"sm2\",\"KeyValue\":\"0407f79b28a17a752b3aae4305c98b48978213832729a2571850b1310b2bc9fe8fee039ccf25ebfeac27502414d9fcef792d777183c98893d226171c2f7a3289a2\"}],\"Extension\":{\"Timestamp\":1775538706,\"KeyVersion\":\"v1-Owd2uMESYLo311\"}}"}</vt:lpwstr>
  </property>
  <property fmtid="{D5CDD505-2E9C-101B-9397-08002B2CF9AE}" pid="3" name="KSOTemplateDocerSaveRecord">
    <vt:lpwstr>eyJoZGlkIjoiNTY3NmMzYTI2NWI2ODcxZGNlNmQzNGY2N2RkYWM3NWQiLCJ1c2VySWQiOiI0NjE4NTMxMDUifQ==</vt:lpwstr>
  </property>
  <property fmtid="{D5CDD505-2E9C-101B-9397-08002B2CF9AE}" pid="4" name="KSOProductBuildVer">
    <vt:lpwstr>2052-12.1.0.26375</vt:lpwstr>
  </property>
  <property fmtid="{D5CDD505-2E9C-101B-9397-08002B2CF9AE}" pid="5" name="ICV">
    <vt:lpwstr>338BF6766DDF4C70BEAB50D53CEDF179_12</vt:lpwstr>
  </property>
</Properties>
</file>