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744A84">
      <w:pPr>
        <w:spacing w:line="360" w:lineRule="auto"/>
        <w:ind w:right="-420" w:rightChars="-200"/>
        <w:jc w:val="center"/>
        <w:rPr>
          <w:rFonts w:hint="eastAsia"/>
          <w:sz w:val="32"/>
          <w:szCs w:val="36"/>
          <w:lang w:val="en-US" w:eastAsia="zh-CN"/>
        </w:rPr>
      </w:pPr>
      <w:r>
        <w:rPr>
          <w:rFonts w:hint="eastAsia"/>
          <w:sz w:val="32"/>
          <w:szCs w:val="36"/>
          <w:lang w:val="en-US" w:eastAsia="zh-CN"/>
        </w:rPr>
        <w:t>项目需求</w:t>
      </w:r>
    </w:p>
    <w:p w14:paraId="2982BC03">
      <w:pPr>
        <w:numPr>
          <w:ilvl w:val="0"/>
          <w:numId w:val="1"/>
        </w:numPr>
        <w:spacing w:line="360" w:lineRule="auto"/>
        <w:ind w:left="0" w:leftChars="0" w:firstLine="0" w:firstLineChars="0"/>
        <w:jc w:val="left"/>
        <w:rPr>
          <w:sz w:val="24"/>
          <w:szCs w:val="24"/>
        </w:rPr>
      </w:pPr>
      <w:r>
        <w:rPr>
          <w:sz w:val="24"/>
          <w:szCs w:val="24"/>
        </w:rPr>
        <w:t>项目</w:t>
      </w:r>
      <w:r>
        <w:rPr>
          <w:rFonts w:hint="eastAsia"/>
          <w:sz w:val="24"/>
          <w:szCs w:val="24"/>
        </w:rPr>
        <w:t>概述</w:t>
      </w:r>
    </w:p>
    <w:p w14:paraId="6F1D6C46">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u w:val="single"/>
          <w:lang w:val="en-US" w:eastAsia="zh-CN"/>
        </w:rPr>
        <w:t>绿谷行政楼</w:t>
      </w:r>
      <w:r>
        <w:rPr>
          <w:rFonts w:hint="eastAsia" w:ascii="宋体" w:hAnsi="宋体" w:eastAsia="宋体" w:cs="宋体"/>
          <w:sz w:val="24"/>
          <w:szCs w:val="24"/>
          <w:u w:val="single"/>
        </w:rPr>
        <w:t>一</w:t>
      </w:r>
      <w:r>
        <w:rPr>
          <w:rFonts w:hint="eastAsia" w:ascii="宋体" w:hAnsi="宋体" w:eastAsia="宋体" w:cs="宋体"/>
          <w:sz w:val="24"/>
          <w:szCs w:val="24"/>
          <w:u w:val="single"/>
          <w:lang w:val="en-US" w:eastAsia="zh-CN"/>
        </w:rPr>
        <w:t>层</w:t>
      </w:r>
      <w:r>
        <w:rPr>
          <w:rFonts w:hint="eastAsia" w:ascii="宋体" w:hAnsi="宋体" w:eastAsia="宋体" w:cs="宋体"/>
          <w:sz w:val="24"/>
          <w:szCs w:val="24"/>
          <w:u w:val="single"/>
        </w:rPr>
        <w:t>和</w:t>
      </w:r>
      <w:r>
        <w:rPr>
          <w:rFonts w:hint="eastAsia" w:ascii="宋体" w:hAnsi="宋体" w:eastAsia="宋体" w:cs="宋体"/>
          <w:sz w:val="24"/>
          <w:szCs w:val="24"/>
          <w:u w:val="single"/>
          <w:lang w:val="en-US" w:eastAsia="zh-CN"/>
        </w:rPr>
        <w:t>基因库</w:t>
      </w:r>
      <w:r>
        <w:rPr>
          <w:rFonts w:hint="eastAsia" w:ascii="宋体" w:hAnsi="宋体" w:eastAsia="宋体" w:cs="宋体"/>
          <w:sz w:val="24"/>
          <w:szCs w:val="24"/>
          <w:u w:val="single"/>
        </w:rPr>
        <w:t>一</w:t>
      </w:r>
      <w:r>
        <w:rPr>
          <w:rFonts w:hint="eastAsia" w:ascii="宋体" w:hAnsi="宋体" w:eastAsia="宋体" w:cs="宋体"/>
          <w:sz w:val="24"/>
          <w:szCs w:val="24"/>
          <w:u w:val="single"/>
          <w:lang w:val="en-US" w:eastAsia="zh-CN"/>
        </w:rPr>
        <w:t>层展厅、儿童房、老人房样板间</w:t>
      </w:r>
      <w:r>
        <w:rPr>
          <w:rFonts w:hint="eastAsia" w:ascii="宋体" w:hAnsi="宋体" w:eastAsia="宋体" w:cs="宋体"/>
          <w:sz w:val="24"/>
          <w:szCs w:val="24"/>
          <w:u w:val="single"/>
        </w:rPr>
        <w:t>装修</w:t>
      </w:r>
      <w:r>
        <w:rPr>
          <w:rFonts w:hint="eastAsia" w:ascii="宋体" w:hAnsi="宋体" w:eastAsia="宋体" w:cs="宋体"/>
          <w:sz w:val="24"/>
          <w:szCs w:val="24"/>
          <w:u w:val="single"/>
          <w:lang w:val="en-US" w:eastAsia="zh-CN"/>
        </w:rPr>
        <w:t>设计项目</w:t>
      </w:r>
      <w:r>
        <w:rPr>
          <w:rFonts w:hint="eastAsia" w:ascii="宋体" w:hAnsi="宋体" w:eastAsia="宋体" w:cs="宋体"/>
          <w:sz w:val="24"/>
          <w:szCs w:val="24"/>
          <w:highlight w:val="none"/>
          <w:lang w:val="en-US" w:eastAsia="zh-CN"/>
        </w:rPr>
        <w:t>。</w:t>
      </w:r>
    </w:p>
    <w:p w14:paraId="575F82E4">
      <w:pPr>
        <w:numPr>
          <w:ilvl w:val="0"/>
          <w:numId w:val="1"/>
        </w:numPr>
        <w:spacing w:line="360" w:lineRule="auto"/>
        <w:ind w:left="0" w:leftChars="0" w:firstLine="0" w:firstLineChars="0"/>
        <w:jc w:val="left"/>
        <w:rPr>
          <w:rFonts w:hint="eastAsia"/>
          <w:sz w:val="24"/>
          <w:szCs w:val="24"/>
          <w:lang w:val="en-US" w:eastAsia="zh-CN"/>
        </w:rPr>
      </w:pPr>
      <w:r>
        <w:rPr>
          <w:rFonts w:hint="eastAsia"/>
          <w:sz w:val="24"/>
          <w:szCs w:val="24"/>
          <w:lang w:val="en-US" w:eastAsia="zh-CN"/>
        </w:rPr>
        <w:t>供应商资质要求：</w:t>
      </w:r>
    </w:p>
    <w:p w14:paraId="2C2EAC69">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olor w:val="FF0000"/>
          <w:sz w:val="24"/>
          <w:szCs w:val="24"/>
          <w:lang w:val="en-US" w:eastAsia="zh-CN"/>
        </w:rPr>
      </w:pPr>
      <w:r>
        <w:rPr>
          <w:rFonts w:hint="eastAsia" w:cs="宋体" w:asciiTheme="minorEastAsia" w:hAnsiTheme="minorEastAsia" w:eastAsiaTheme="minorEastAsia"/>
          <w:color w:val="333333"/>
          <w:kern w:val="0"/>
          <w:sz w:val="24"/>
          <w:lang w:bidi="ar"/>
        </w:rPr>
        <w:t>1、</w:t>
      </w:r>
      <w:r>
        <w:rPr>
          <w:rFonts w:hint="eastAsia" w:asciiTheme="minorEastAsia" w:hAnsiTheme="minorEastAsia"/>
          <w:color w:val="FF0000"/>
          <w:sz w:val="24"/>
          <w:szCs w:val="24"/>
          <w:lang w:val="en-US" w:eastAsia="zh-CN"/>
        </w:rPr>
        <w:t>建筑行业(建筑工程)乙级及以上</w:t>
      </w:r>
      <w:bookmarkStart w:id="36" w:name="_GoBack"/>
      <w:bookmarkEnd w:id="36"/>
      <w:r>
        <w:rPr>
          <w:rFonts w:hint="eastAsia" w:asciiTheme="minorEastAsia" w:hAnsiTheme="minorEastAsia"/>
          <w:color w:val="FF0000"/>
          <w:sz w:val="24"/>
          <w:szCs w:val="24"/>
          <w:lang w:val="en-US" w:eastAsia="zh-CN"/>
        </w:rPr>
        <w:t>。</w:t>
      </w:r>
    </w:p>
    <w:p w14:paraId="7BC3906A">
      <w:pPr>
        <w:keepNext w:val="0"/>
        <w:keepLines w:val="0"/>
        <w:pageBreakBefore w:val="0"/>
        <w:widowControl/>
        <w:kinsoku/>
        <w:wordWrap/>
        <w:overflowPunct/>
        <w:topLinePunct w:val="0"/>
        <w:autoSpaceDE/>
        <w:autoSpaceDN/>
        <w:bidi w:val="0"/>
        <w:adjustRightInd/>
        <w:snapToGrid/>
        <w:spacing w:line="288" w:lineRule="auto"/>
        <w:ind w:firstLine="480"/>
        <w:jc w:val="left"/>
        <w:textAlignment w:val="auto"/>
        <w:rPr>
          <w:rFonts w:cs="宋体" w:asciiTheme="minorEastAsia" w:hAnsiTheme="minorEastAsia" w:eastAsiaTheme="minorEastAsia"/>
          <w:color w:val="333333"/>
          <w:kern w:val="0"/>
          <w:sz w:val="24"/>
          <w:lang w:bidi="ar"/>
        </w:rPr>
      </w:pPr>
      <w:r>
        <w:rPr>
          <w:rFonts w:cs="宋体" w:asciiTheme="minorEastAsia" w:hAnsiTheme="minorEastAsia" w:eastAsiaTheme="minorEastAsia"/>
          <w:color w:val="333333"/>
          <w:kern w:val="0"/>
          <w:sz w:val="24"/>
          <w:lang w:bidi="ar"/>
        </w:rPr>
        <w:t>2</w:t>
      </w:r>
      <w:r>
        <w:rPr>
          <w:rFonts w:hint="eastAsia" w:cs="宋体" w:asciiTheme="minorEastAsia" w:hAnsiTheme="minorEastAsia" w:eastAsiaTheme="minorEastAsia"/>
          <w:color w:val="333333"/>
          <w:kern w:val="0"/>
          <w:sz w:val="24"/>
          <w:lang w:bidi="ar"/>
        </w:rPr>
        <w:t>、具有独立承担民事责任的能力；</w:t>
      </w:r>
    </w:p>
    <w:p w14:paraId="4C111316">
      <w:pPr>
        <w:keepNext w:val="0"/>
        <w:keepLines w:val="0"/>
        <w:pageBreakBefore w:val="0"/>
        <w:widowControl/>
        <w:kinsoku/>
        <w:wordWrap/>
        <w:overflowPunct/>
        <w:topLinePunct w:val="0"/>
        <w:autoSpaceDE/>
        <w:autoSpaceDN/>
        <w:bidi w:val="0"/>
        <w:adjustRightInd/>
        <w:snapToGrid/>
        <w:spacing w:line="288" w:lineRule="auto"/>
        <w:ind w:firstLine="480"/>
        <w:jc w:val="left"/>
        <w:textAlignment w:val="auto"/>
        <w:rPr>
          <w:rFonts w:cs="宋体" w:asciiTheme="minorEastAsia" w:hAnsiTheme="minorEastAsia" w:eastAsiaTheme="minorEastAsia"/>
          <w:color w:val="333333"/>
          <w:kern w:val="0"/>
          <w:sz w:val="24"/>
          <w:lang w:bidi="ar"/>
        </w:rPr>
      </w:pPr>
      <w:r>
        <w:rPr>
          <w:rFonts w:cs="宋体" w:asciiTheme="minorEastAsia" w:hAnsiTheme="minorEastAsia" w:eastAsiaTheme="minorEastAsia"/>
          <w:color w:val="333333"/>
          <w:kern w:val="0"/>
          <w:sz w:val="24"/>
          <w:lang w:bidi="ar"/>
        </w:rPr>
        <w:t>3</w:t>
      </w:r>
      <w:r>
        <w:rPr>
          <w:rFonts w:hint="eastAsia" w:cs="宋体" w:asciiTheme="minorEastAsia" w:hAnsiTheme="minorEastAsia" w:eastAsiaTheme="minorEastAsia"/>
          <w:color w:val="333333"/>
          <w:kern w:val="0"/>
          <w:sz w:val="24"/>
          <w:lang w:bidi="ar"/>
        </w:rPr>
        <w:t>、具有良好的商业信誉；</w:t>
      </w:r>
    </w:p>
    <w:p w14:paraId="084BD8A9">
      <w:pPr>
        <w:keepNext w:val="0"/>
        <w:keepLines w:val="0"/>
        <w:pageBreakBefore w:val="0"/>
        <w:widowControl/>
        <w:kinsoku/>
        <w:wordWrap/>
        <w:overflowPunct/>
        <w:topLinePunct w:val="0"/>
        <w:autoSpaceDE/>
        <w:autoSpaceDN/>
        <w:bidi w:val="0"/>
        <w:adjustRightInd/>
        <w:snapToGrid/>
        <w:spacing w:line="288" w:lineRule="auto"/>
        <w:ind w:firstLine="480"/>
        <w:jc w:val="left"/>
        <w:textAlignment w:val="auto"/>
        <w:rPr>
          <w:rFonts w:cs="宋体" w:asciiTheme="minorEastAsia" w:hAnsiTheme="minorEastAsia" w:eastAsiaTheme="minorEastAsia"/>
          <w:color w:val="333333"/>
          <w:kern w:val="0"/>
          <w:sz w:val="24"/>
          <w:lang w:bidi="ar"/>
        </w:rPr>
      </w:pPr>
      <w:r>
        <w:rPr>
          <w:rFonts w:cs="宋体" w:asciiTheme="minorEastAsia" w:hAnsiTheme="minorEastAsia" w:eastAsiaTheme="minorEastAsia"/>
          <w:color w:val="333333"/>
          <w:kern w:val="0"/>
          <w:sz w:val="24"/>
          <w:lang w:bidi="ar"/>
        </w:rPr>
        <w:t>4</w:t>
      </w:r>
      <w:r>
        <w:rPr>
          <w:rFonts w:hint="eastAsia" w:cs="宋体" w:asciiTheme="minorEastAsia" w:hAnsiTheme="minorEastAsia" w:eastAsiaTheme="minorEastAsia"/>
          <w:color w:val="333333"/>
          <w:kern w:val="0"/>
          <w:sz w:val="24"/>
          <w:lang w:bidi="ar"/>
        </w:rPr>
        <w:t>、具有履行合同所必需的设备和专业技术能力；</w:t>
      </w:r>
    </w:p>
    <w:p w14:paraId="3E48C9E2">
      <w:pPr>
        <w:keepNext w:val="0"/>
        <w:keepLines w:val="0"/>
        <w:pageBreakBefore w:val="0"/>
        <w:widowControl/>
        <w:kinsoku/>
        <w:wordWrap/>
        <w:overflowPunct/>
        <w:topLinePunct w:val="0"/>
        <w:autoSpaceDE/>
        <w:autoSpaceDN/>
        <w:bidi w:val="0"/>
        <w:adjustRightInd/>
        <w:snapToGrid/>
        <w:spacing w:line="288" w:lineRule="auto"/>
        <w:ind w:firstLine="480"/>
        <w:jc w:val="left"/>
        <w:textAlignment w:val="auto"/>
        <w:rPr>
          <w:rFonts w:cs="宋体" w:asciiTheme="minorEastAsia" w:hAnsiTheme="minorEastAsia" w:eastAsiaTheme="minorEastAsia"/>
          <w:color w:val="333333"/>
          <w:kern w:val="0"/>
          <w:sz w:val="24"/>
          <w:lang w:bidi="ar"/>
        </w:rPr>
      </w:pPr>
      <w:r>
        <w:rPr>
          <w:rFonts w:cs="宋体" w:asciiTheme="minorEastAsia" w:hAnsiTheme="minorEastAsia" w:eastAsiaTheme="minorEastAsia"/>
          <w:color w:val="333333"/>
          <w:kern w:val="0"/>
          <w:sz w:val="24"/>
          <w:lang w:bidi="ar"/>
        </w:rPr>
        <w:t>5</w:t>
      </w:r>
      <w:r>
        <w:rPr>
          <w:rFonts w:hint="eastAsia" w:cs="宋体" w:asciiTheme="minorEastAsia" w:hAnsiTheme="minorEastAsia" w:eastAsiaTheme="minorEastAsia"/>
          <w:color w:val="333333"/>
          <w:kern w:val="0"/>
          <w:sz w:val="24"/>
          <w:lang w:bidi="ar"/>
        </w:rPr>
        <w:t>、有依法缴纳税收和社会保障资金的良好记录；</w:t>
      </w:r>
    </w:p>
    <w:p w14:paraId="1DA58C1B">
      <w:pPr>
        <w:keepNext w:val="0"/>
        <w:keepLines w:val="0"/>
        <w:pageBreakBefore w:val="0"/>
        <w:widowControl/>
        <w:kinsoku/>
        <w:wordWrap/>
        <w:overflowPunct/>
        <w:topLinePunct w:val="0"/>
        <w:autoSpaceDE/>
        <w:autoSpaceDN/>
        <w:bidi w:val="0"/>
        <w:adjustRightInd/>
        <w:snapToGrid/>
        <w:spacing w:line="288" w:lineRule="auto"/>
        <w:ind w:firstLine="480"/>
        <w:jc w:val="left"/>
        <w:textAlignment w:val="auto"/>
        <w:rPr>
          <w:rFonts w:cs="宋体" w:asciiTheme="minorEastAsia" w:hAnsiTheme="minorEastAsia" w:eastAsiaTheme="minorEastAsia"/>
          <w:color w:val="333333"/>
          <w:kern w:val="0"/>
          <w:sz w:val="24"/>
          <w:lang w:bidi="ar"/>
        </w:rPr>
      </w:pPr>
      <w:r>
        <w:rPr>
          <w:rFonts w:cs="宋体" w:asciiTheme="minorEastAsia" w:hAnsiTheme="minorEastAsia" w:eastAsiaTheme="minorEastAsia"/>
          <w:color w:val="333333"/>
          <w:kern w:val="0"/>
          <w:sz w:val="24"/>
          <w:lang w:bidi="ar"/>
        </w:rPr>
        <w:t>6</w:t>
      </w:r>
      <w:r>
        <w:rPr>
          <w:rFonts w:hint="eastAsia" w:cs="宋体" w:asciiTheme="minorEastAsia" w:hAnsiTheme="minorEastAsia" w:eastAsiaTheme="minorEastAsia"/>
          <w:color w:val="333333"/>
          <w:kern w:val="0"/>
          <w:sz w:val="24"/>
          <w:lang w:bidi="ar"/>
        </w:rPr>
        <w:t>、参加设计竞争性谈判活动前三年内，在经营活动中没有重大违法记录；</w:t>
      </w:r>
    </w:p>
    <w:p w14:paraId="4F774EFE">
      <w:pPr>
        <w:keepNext w:val="0"/>
        <w:keepLines w:val="0"/>
        <w:pageBreakBefore w:val="0"/>
        <w:widowControl/>
        <w:kinsoku/>
        <w:wordWrap/>
        <w:overflowPunct/>
        <w:topLinePunct w:val="0"/>
        <w:autoSpaceDE/>
        <w:autoSpaceDN/>
        <w:bidi w:val="0"/>
        <w:adjustRightInd/>
        <w:snapToGrid/>
        <w:spacing w:line="288" w:lineRule="auto"/>
        <w:ind w:firstLine="480"/>
        <w:jc w:val="left"/>
        <w:textAlignment w:val="auto"/>
        <w:rPr>
          <w:rFonts w:hint="eastAsia"/>
          <w:sz w:val="24"/>
          <w:szCs w:val="24"/>
          <w:lang w:val="en-US" w:eastAsia="zh-CN"/>
        </w:rPr>
      </w:pPr>
      <w:r>
        <w:rPr>
          <w:rFonts w:cs="宋体" w:asciiTheme="minorEastAsia" w:hAnsiTheme="minorEastAsia" w:eastAsiaTheme="minorEastAsia"/>
          <w:color w:val="333333"/>
          <w:kern w:val="0"/>
          <w:sz w:val="24"/>
          <w:lang w:bidi="ar"/>
        </w:rPr>
        <w:t>7</w:t>
      </w:r>
      <w:r>
        <w:rPr>
          <w:rFonts w:hint="eastAsia" w:cs="宋体" w:asciiTheme="minorEastAsia" w:hAnsiTheme="minorEastAsia" w:eastAsiaTheme="minorEastAsia"/>
          <w:color w:val="333333"/>
          <w:kern w:val="0"/>
          <w:sz w:val="24"/>
          <w:lang w:bidi="ar"/>
        </w:rPr>
        <w:t>、法律、行政法规规定的其他条件。</w:t>
      </w:r>
    </w:p>
    <w:p w14:paraId="78C72D9D">
      <w:pPr>
        <w:numPr>
          <w:ilvl w:val="0"/>
          <w:numId w:val="1"/>
        </w:numPr>
        <w:spacing w:line="360" w:lineRule="auto"/>
        <w:ind w:left="0" w:leftChars="0" w:firstLine="0" w:firstLineChars="0"/>
        <w:jc w:val="left"/>
        <w:rPr>
          <w:rFonts w:hint="eastAsia"/>
          <w:sz w:val="24"/>
          <w:szCs w:val="24"/>
          <w:lang w:val="en-US" w:eastAsia="zh-CN"/>
        </w:rPr>
      </w:pPr>
      <w:r>
        <w:rPr>
          <w:rFonts w:hint="eastAsia"/>
          <w:sz w:val="24"/>
          <w:szCs w:val="24"/>
          <w:lang w:val="en-US" w:eastAsia="zh-CN"/>
        </w:rPr>
        <w:t>服务标注和要求</w:t>
      </w:r>
    </w:p>
    <w:p w14:paraId="3D9A8F91">
      <w:pPr>
        <w:numPr>
          <w:ilvl w:val="0"/>
          <w:numId w:val="2"/>
        </w:numPr>
        <w:spacing w:before="120" w:after="120" w:line="288" w:lineRule="auto"/>
        <w:ind w:left="0" w:firstLine="480" w:firstLineChars="200"/>
        <w:jc w:val="left"/>
        <w:rPr>
          <w:rFonts w:hint="eastAsia" w:cs="宋体" w:asciiTheme="minorEastAsia" w:hAnsiTheme="minorEastAsia" w:eastAsiaTheme="minorEastAsia"/>
          <w:kern w:val="0"/>
          <w:sz w:val="24"/>
          <w:szCs w:val="22"/>
          <w:lang w:val="en-US" w:eastAsia="zh-CN" w:bidi="ar-SA"/>
        </w:rPr>
      </w:pPr>
      <w:r>
        <w:rPr>
          <w:rFonts w:hint="eastAsia" w:cs="宋体" w:asciiTheme="minorEastAsia" w:hAnsiTheme="minorEastAsia" w:eastAsiaTheme="minorEastAsia"/>
          <w:kern w:val="0"/>
          <w:sz w:val="24"/>
          <w:szCs w:val="22"/>
          <w:lang w:val="en-US" w:eastAsia="zh-CN" w:bidi="ar-SA"/>
        </w:rPr>
        <w:t>绿谷行政楼一层展厅形象设计（一处展台，两面背景形象墙，科技高端，色调简洁，材质有质感，玻璃镂空透明，光线适合拍照合影。底部台可放置仿真绿植不限于苔藓，造景石头，蓝色或绿色玻璃等仿真河流，台子可曲线棱角边缘光滑。含3张效果图）。</w:t>
      </w:r>
    </w:p>
    <w:p w14:paraId="5105DAD9">
      <w:pPr>
        <w:numPr>
          <w:ilvl w:val="0"/>
          <w:numId w:val="2"/>
        </w:numPr>
        <w:spacing w:before="120" w:after="120" w:line="288" w:lineRule="auto"/>
        <w:ind w:left="0" w:firstLine="480" w:firstLineChars="200"/>
        <w:jc w:val="left"/>
        <w:rPr>
          <w:rFonts w:hint="eastAsia" w:cs="宋体" w:asciiTheme="minorEastAsia" w:hAnsiTheme="minorEastAsia" w:eastAsiaTheme="minorEastAsia"/>
          <w:kern w:val="0"/>
          <w:sz w:val="24"/>
          <w:szCs w:val="22"/>
          <w:lang w:val="en-US" w:eastAsia="zh-CN" w:bidi="ar-SA"/>
        </w:rPr>
      </w:pPr>
      <w:r>
        <w:rPr>
          <w:rFonts w:hint="eastAsia" w:cs="宋体" w:asciiTheme="minorEastAsia" w:hAnsiTheme="minorEastAsia" w:eastAsiaTheme="minorEastAsia"/>
          <w:kern w:val="0"/>
          <w:sz w:val="24"/>
          <w:szCs w:val="22"/>
          <w:lang w:val="en-US" w:eastAsia="zh-CN" w:bidi="ar-SA"/>
        </w:rPr>
        <w:t>基因库一层展厅（整体遵循科技赋能、文化为魂、虚实结合、动线流畅四大原则，风格采用现代简约风 + 未来科技风，主色调融合企业标准色、科技蓝与纯净白，搭配金属质感材质，凸显医疗严谨性与科技前瞻性。展厅采用单向闭环参观动线，分区明确、层层递进，静态图文展陈与动态多媒体、智能互动设备相结合，灯光采用全域柔和白光 + 分区氛围灯带，区分文化区、产业区、科研区、体验区，实现 “光影随景动，场景随情变”。同时结合展厅原有尺寸标注、LED 大屏点位，合理规划展陈、设备、动线及功能分区，兼顾实用性、观赏性与运维便捷性。含6张效果图）</w:t>
      </w:r>
    </w:p>
    <w:p w14:paraId="3067B9D3">
      <w:pPr>
        <w:numPr>
          <w:ilvl w:val="0"/>
          <w:numId w:val="2"/>
        </w:numPr>
        <w:spacing w:before="120" w:after="120" w:line="288" w:lineRule="auto"/>
        <w:ind w:left="0" w:firstLine="480" w:firstLineChars="200"/>
        <w:jc w:val="left"/>
        <w:rPr>
          <w:rFonts w:hint="eastAsia" w:cs="宋体" w:asciiTheme="minorEastAsia" w:hAnsiTheme="minorEastAsia" w:eastAsiaTheme="minorEastAsia"/>
          <w:kern w:val="0"/>
          <w:sz w:val="24"/>
          <w:szCs w:val="22"/>
          <w:lang w:val="en-US" w:eastAsia="zh-CN" w:bidi="ar-SA"/>
        </w:rPr>
      </w:pPr>
      <w:r>
        <w:rPr>
          <w:rFonts w:hint="eastAsia" w:cs="宋体" w:asciiTheme="minorEastAsia" w:hAnsiTheme="minorEastAsia" w:eastAsiaTheme="minorEastAsia"/>
          <w:kern w:val="0"/>
          <w:sz w:val="24"/>
          <w:szCs w:val="22"/>
          <w:lang w:val="en-US" w:eastAsia="zh-CN" w:bidi="ar-SA"/>
        </w:rPr>
        <w:t>儿童房样板间（以「儿童近视友好」为核心，依托AI设计技术，打造适配儿童学习、生活、活动的室内样板间空间，涵盖儿童书房、卧室等核心场景，设计内容须围绕防控儿童近视、保护儿童视力展开，含3张效果图），</w:t>
      </w:r>
    </w:p>
    <w:p w14:paraId="10DA4EBA">
      <w:pPr>
        <w:numPr>
          <w:ilvl w:val="0"/>
          <w:numId w:val="2"/>
        </w:numPr>
        <w:spacing w:before="120" w:after="120" w:line="288" w:lineRule="auto"/>
        <w:ind w:left="0" w:firstLine="480" w:firstLineChars="200"/>
        <w:jc w:val="left"/>
        <w:rPr>
          <w:rFonts w:hint="eastAsia" w:cs="宋体" w:asciiTheme="minorEastAsia" w:hAnsiTheme="minorEastAsia" w:eastAsiaTheme="minorEastAsia"/>
          <w:kern w:val="0"/>
          <w:sz w:val="24"/>
          <w:szCs w:val="22"/>
          <w:lang w:val="en-US" w:eastAsia="zh-CN" w:bidi="ar-SA"/>
        </w:rPr>
      </w:pPr>
      <w:r>
        <w:rPr>
          <w:rFonts w:hint="eastAsia" w:cs="宋体" w:asciiTheme="minorEastAsia" w:hAnsiTheme="minorEastAsia" w:eastAsiaTheme="minorEastAsia"/>
          <w:kern w:val="0"/>
          <w:sz w:val="24"/>
          <w:szCs w:val="22"/>
          <w:lang w:val="en-US" w:eastAsia="zh-CN" w:bidi="ar-SA"/>
        </w:rPr>
        <w:t>老人房样板间设计，需求待定，含3张效果图。</w:t>
      </w:r>
    </w:p>
    <w:p w14:paraId="2BFA1044">
      <w:pPr>
        <w:numPr>
          <w:ilvl w:val="0"/>
          <w:numId w:val="0"/>
        </w:numPr>
        <w:spacing w:before="120" w:after="120" w:line="288" w:lineRule="auto"/>
        <w:ind w:leftChars="200"/>
        <w:jc w:val="left"/>
        <w:rPr>
          <w:rFonts w:hint="default" w:eastAsia="宋体" w:cs="Times New Roman" w:asciiTheme="minorEastAsia" w:hAnsiTheme="minorEastAsia"/>
          <w:color w:val="FF0000"/>
          <w:szCs w:val="24"/>
          <w:highlight w:val="none"/>
          <w:lang w:val="en-US" w:eastAsia="zh-CN"/>
        </w:rPr>
      </w:pPr>
      <w:r>
        <w:rPr>
          <w:rFonts w:hint="eastAsia" w:cs="宋体"/>
          <w:color w:val="FF0000"/>
          <w:sz w:val="24"/>
          <w:szCs w:val="24"/>
          <w:highlight w:val="none"/>
          <w:lang w:val="en-US" w:eastAsia="zh-CN"/>
        </w:rPr>
        <w:t>以上详见设计需求附件1-4。</w:t>
      </w:r>
    </w:p>
    <w:p w14:paraId="78946327">
      <w:pPr>
        <w:tabs>
          <w:tab w:val="left" w:pos="7016"/>
        </w:tabs>
        <w:spacing w:line="360" w:lineRule="auto"/>
        <w:ind w:firstLine="480" w:firstLineChars="200"/>
        <w:textAlignment w:val="baseline"/>
        <w:rPr>
          <w:rFonts w:asciiTheme="minorEastAsia" w:hAnsiTheme="minorEastAsia" w:eastAsiaTheme="minorEastAsia"/>
          <w:sz w:val="24"/>
          <w:szCs w:val="24"/>
          <w:highlight w:val="none"/>
        </w:rPr>
      </w:pPr>
      <w:r>
        <w:rPr>
          <w:rFonts w:hint="eastAsia" w:asciiTheme="minorEastAsia" w:hAnsiTheme="minorEastAsia"/>
          <w:sz w:val="24"/>
          <w:szCs w:val="24"/>
          <w:highlight w:val="none"/>
          <w:lang w:val="en-US" w:eastAsia="zh-CN"/>
        </w:rPr>
        <w:t>5、</w:t>
      </w:r>
      <w:r>
        <w:rPr>
          <w:rFonts w:hint="eastAsia" w:asciiTheme="minorEastAsia" w:hAnsiTheme="minorEastAsia" w:eastAsiaTheme="minorEastAsia"/>
          <w:sz w:val="24"/>
          <w:szCs w:val="24"/>
          <w:highlight w:val="none"/>
        </w:rPr>
        <w:t xml:space="preserve"> 建设地点：辽宁何氏医学院</w:t>
      </w:r>
    </w:p>
    <w:p w14:paraId="754EBE78">
      <w:pPr>
        <w:spacing w:line="360" w:lineRule="auto"/>
        <w:ind w:firstLine="480" w:firstLineChars="200"/>
        <w:textAlignment w:val="baseline"/>
        <w:rPr>
          <w:rFonts w:hint="eastAsia"/>
          <w:sz w:val="24"/>
          <w:szCs w:val="24"/>
          <w:highlight w:val="none"/>
        </w:rPr>
      </w:pPr>
      <w:r>
        <w:rPr>
          <w:rFonts w:hint="eastAsia" w:cs="宋体" w:asciiTheme="minorEastAsia" w:hAnsiTheme="minorEastAsia"/>
          <w:sz w:val="24"/>
          <w:highlight w:val="none"/>
          <w:lang w:val="en-US" w:eastAsia="zh-CN"/>
        </w:rPr>
        <w:t>6、</w:t>
      </w:r>
      <w:r>
        <w:rPr>
          <w:rFonts w:hint="eastAsia" w:cs="宋体" w:asciiTheme="minorEastAsia" w:hAnsiTheme="minorEastAsia" w:eastAsiaTheme="minorEastAsia"/>
          <w:sz w:val="24"/>
          <w:highlight w:val="none"/>
        </w:rPr>
        <w:t xml:space="preserve"> </w:t>
      </w:r>
      <w:r>
        <w:rPr>
          <w:rFonts w:hint="eastAsia" w:cs="宋体" w:asciiTheme="minorEastAsia" w:hAnsiTheme="minorEastAsia" w:eastAsiaTheme="minorEastAsia"/>
          <w:sz w:val="24"/>
          <w:szCs w:val="24"/>
          <w:highlight w:val="none"/>
        </w:rPr>
        <w:t>建设规模：</w:t>
      </w:r>
      <w:r>
        <w:rPr>
          <w:rFonts w:hint="eastAsia" w:eastAsiaTheme="minorEastAsia"/>
          <w:sz w:val="24"/>
          <w:szCs w:val="24"/>
          <w:highlight w:val="none"/>
          <w:lang w:val="en-US" w:eastAsia="zh-CN"/>
        </w:rPr>
        <w:t>绿谷行政楼一层展厅</w:t>
      </w:r>
      <w:r>
        <w:rPr>
          <w:rFonts w:hint="eastAsia"/>
          <w:sz w:val="24"/>
          <w:szCs w:val="24"/>
          <w:highlight w:val="none"/>
        </w:rPr>
        <w:t>：约</w:t>
      </w:r>
      <w:r>
        <w:rPr>
          <w:sz w:val="24"/>
          <w:szCs w:val="24"/>
          <w:highlight w:val="none"/>
        </w:rPr>
        <w:t>90</w:t>
      </w:r>
      <w:r>
        <w:rPr>
          <w:rFonts w:hint="eastAsia"/>
          <w:sz w:val="24"/>
          <w:szCs w:val="24"/>
          <w:highlight w:val="none"/>
        </w:rPr>
        <w:t>㎡</w:t>
      </w:r>
    </w:p>
    <w:p w14:paraId="2DE0827B">
      <w:pPr>
        <w:spacing w:line="360" w:lineRule="auto"/>
        <w:ind w:firstLine="2160" w:firstLineChars="900"/>
        <w:textAlignment w:val="baseline"/>
        <w:rPr>
          <w:rFonts w:hint="default"/>
          <w:sz w:val="24"/>
          <w:szCs w:val="24"/>
          <w:highlight w:val="none"/>
          <w:lang w:val="en-US"/>
        </w:rPr>
      </w:pPr>
      <w:r>
        <w:rPr>
          <w:rFonts w:hint="eastAsia" w:ascii="宋体" w:hAnsi="宋体" w:cs="宋体"/>
          <w:sz w:val="24"/>
          <w:szCs w:val="24"/>
          <w:u w:val="single"/>
          <w:lang w:val="en-US" w:eastAsia="zh-CN"/>
        </w:rPr>
        <w:t>基因库</w:t>
      </w:r>
      <w:r>
        <w:rPr>
          <w:rFonts w:ascii="宋体" w:hAnsi="宋体" w:eastAsia="宋体" w:cs="宋体"/>
          <w:sz w:val="24"/>
          <w:szCs w:val="24"/>
          <w:u w:val="single"/>
        </w:rPr>
        <w:t>一</w:t>
      </w:r>
      <w:r>
        <w:rPr>
          <w:rFonts w:hint="eastAsia" w:ascii="宋体" w:hAnsi="宋体" w:cs="宋体"/>
          <w:sz w:val="24"/>
          <w:szCs w:val="24"/>
          <w:u w:val="single"/>
          <w:lang w:val="en-US" w:eastAsia="zh-CN"/>
        </w:rPr>
        <w:t>层展厅：约400㎡</w:t>
      </w:r>
    </w:p>
    <w:p w14:paraId="29A6D9DC">
      <w:pPr>
        <w:pStyle w:val="8"/>
        <w:ind w:left="2155" w:leftChars="1026" w:firstLine="0" w:firstLineChars="0"/>
        <w:rPr>
          <w:rFonts w:hint="eastAsia"/>
          <w:highlight w:val="none"/>
        </w:rPr>
      </w:pPr>
      <w:r>
        <w:rPr>
          <w:rFonts w:hint="eastAsia" w:eastAsiaTheme="minorEastAsia"/>
          <w:szCs w:val="24"/>
          <w:highlight w:val="none"/>
          <w:lang w:val="en-US" w:eastAsia="zh-CN"/>
        </w:rPr>
        <w:t>儿童房样板间</w:t>
      </w:r>
      <w:r>
        <w:rPr>
          <w:rFonts w:hint="eastAsia"/>
          <w:highlight w:val="none"/>
        </w:rPr>
        <w:t>: 约</w:t>
      </w:r>
      <w:r>
        <w:rPr>
          <w:rFonts w:hint="eastAsia"/>
          <w:highlight w:val="none"/>
          <w:lang w:val="en-US" w:eastAsia="zh-CN"/>
        </w:rPr>
        <w:t>20</w:t>
      </w:r>
      <w:r>
        <w:rPr>
          <w:rFonts w:hint="eastAsia"/>
          <w:highlight w:val="none"/>
        </w:rPr>
        <w:t>㎡</w:t>
      </w:r>
    </w:p>
    <w:p w14:paraId="3C0FD91D">
      <w:pPr>
        <w:pStyle w:val="8"/>
        <w:ind w:left="2155" w:leftChars="1026" w:firstLine="0" w:firstLineChars="0"/>
        <w:rPr>
          <w:rFonts w:hint="eastAsia"/>
          <w:highlight w:val="none"/>
          <w:lang w:val="en-US" w:eastAsia="zh-CN"/>
        </w:rPr>
      </w:pPr>
      <w:r>
        <w:rPr>
          <w:rFonts w:hint="eastAsia"/>
          <w:highlight w:val="none"/>
          <w:lang w:val="en-US" w:eastAsia="zh-CN"/>
        </w:rPr>
        <w:t>老人房样板间：约13㎡</w:t>
      </w:r>
    </w:p>
    <w:p w14:paraId="5D9EAF0E">
      <w:pPr>
        <w:pStyle w:val="8"/>
        <w:ind w:left="2155" w:leftChars="1026" w:firstLine="0" w:firstLineChars="0"/>
        <w:rPr>
          <w:rFonts w:hint="eastAsia"/>
          <w:highlight w:val="none"/>
          <w:lang w:val="en-US" w:eastAsia="zh-CN"/>
        </w:rPr>
      </w:pPr>
    </w:p>
    <w:p w14:paraId="2192BAAA">
      <w:pPr>
        <w:pStyle w:val="8"/>
        <w:ind w:left="2155" w:leftChars="1026" w:firstLine="0" w:firstLineChars="0"/>
        <w:rPr>
          <w:rFonts w:hint="default"/>
          <w:highlight w:val="none"/>
          <w:lang w:val="en-US" w:eastAsia="zh-CN"/>
        </w:rPr>
      </w:pPr>
    </w:p>
    <w:p w14:paraId="5B22A6DF">
      <w:pPr>
        <w:spacing w:line="360" w:lineRule="auto"/>
        <w:ind w:firstLine="480" w:firstLineChars="200"/>
        <w:rPr>
          <w:rFonts w:cs="宋体" w:asciiTheme="minorEastAsia" w:hAnsiTheme="minorEastAsia" w:eastAsiaTheme="minorEastAsia"/>
          <w:sz w:val="24"/>
          <w:szCs w:val="22"/>
        </w:rPr>
      </w:pPr>
      <w:r>
        <w:rPr>
          <w:rFonts w:hint="eastAsia" w:cs="宋体" w:asciiTheme="minorEastAsia" w:hAnsiTheme="minorEastAsia"/>
          <w:sz w:val="24"/>
          <w:szCs w:val="22"/>
          <w:lang w:val="en-US" w:eastAsia="zh-CN"/>
        </w:rPr>
        <w:t>7、</w:t>
      </w:r>
      <w:r>
        <w:rPr>
          <w:rFonts w:cs="宋体" w:asciiTheme="minorEastAsia" w:hAnsiTheme="minorEastAsia" w:eastAsiaTheme="minorEastAsia"/>
          <w:sz w:val="24"/>
          <w:szCs w:val="22"/>
        </w:rPr>
        <w:t xml:space="preserve"> </w:t>
      </w:r>
      <w:r>
        <w:rPr>
          <w:rFonts w:hint="eastAsia" w:cs="宋体" w:asciiTheme="minorEastAsia" w:hAnsiTheme="minorEastAsia" w:eastAsiaTheme="minorEastAsia"/>
          <w:sz w:val="24"/>
          <w:szCs w:val="22"/>
        </w:rPr>
        <w:t>设计内容：</w:t>
      </w:r>
    </w:p>
    <w:tbl>
      <w:tblPr>
        <w:tblStyle w:val="3"/>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1481"/>
        <w:gridCol w:w="951"/>
        <w:gridCol w:w="951"/>
        <w:gridCol w:w="951"/>
        <w:gridCol w:w="951"/>
        <w:gridCol w:w="951"/>
        <w:gridCol w:w="955"/>
      </w:tblGrid>
      <w:tr w14:paraId="3C7C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322" w:type="dxa"/>
            <w:vAlign w:val="center"/>
          </w:tcPr>
          <w:p w14:paraId="4A89A4F1">
            <w:pPr>
              <w:pStyle w:val="8"/>
              <w:ind w:firstLine="0" w:firstLineChars="0"/>
              <w:jc w:val="center"/>
              <w:rPr>
                <w:highlight w:val="none"/>
              </w:rPr>
            </w:pPr>
            <w:r>
              <w:rPr>
                <w:rFonts w:hint="eastAsia"/>
                <w:highlight w:val="none"/>
              </w:rPr>
              <w:t>项目名称</w:t>
            </w:r>
          </w:p>
        </w:tc>
        <w:tc>
          <w:tcPr>
            <w:tcW w:w="1481" w:type="dxa"/>
            <w:vAlign w:val="center"/>
          </w:tcPr>
          <w:p w14:paraId="6425F220">
            <w:pPr>
              <w:pStyle w:val="8"/>
              <w:ind w:firstLine="0" w:firstLineChars="0"/>
              <w:jc w:val="center"/>
              <w:rPr>
                <w:highlight w:val="none"/>
              </w:rPr>
            </w:pPr>
            <w:r>
              <w:rPr>
                <w:rFonts w:hint="eastAsia"/>
                <w:highlight w:val="none"/>
              </w:rPr>
              <w:t>建筑面积（㎡）</w:t>
            </w:r>
          </w:p>
        </w:tc>
        <w:tc>
          <w:tcPr>
            <w:tcW w:w="951" w:type="dxa"/>
            <w:vAlign w:val="center"/>
          </w:tcPr>
          <w:p w14:paraId="05CA6B11">
            <w:pPr>
              <w:pStyle w:val="8"/>
              <w:ind w:firstLine="0" w:firstLineChars="0"/>
              <w:jc w:val="center"/>
              <w:rPr>
                <w:highlight w:val="none"/>
              </w:rPr>
            </w:pPr>
            <w:r>
              <w:rPr>
                <w:rFonts w:hint="eastAsia"/>
                <w:highlight w:val="none"/>
              </w:rPr>
              <w:t>建筑</w:t>
            </w:r>
          </w:p>
        </w:tc>
        <w:tc>
          <w:tcPr>
            <w:tcW w:w="951" w:type="dxa"/>
            <w:vAlign w:val="center"/>
          </w:tcPr>
          <w:p w14:paraId="585BA339">
            <w:pPr>
              <w:pStyle w:val="8"/>
              <w:ind w:firstLine="0" w:firstLineChars="0"/>
              <w:jc w:val="center"/>
              <w:rPr>
                <w:highlight w:val="none"/>
              </w:rPr>
            </w:pPr>
            <w:r>
              <w:rPr>
                <w:rFonts w:hint="eastAsia"/>
                <w:highlight w:val="none"/>
              </w:rPr>
              <w:t>装饰</w:t>
            </w:r>
          </w:p>
        </w:tc>
        <w:tc>
          <w:tcPr>
            <w:tcW w:w="951" w:type="dxa"/>
            <w:vAlign w:val="center"/>
          </w:tcPr>
          <w:p w14:paraId="353C04DA">
            <w:pPr>
              <w:pStyle w:val="8"/>
              <w:ind w:firstLine="0" w:firstLineChars="0"/>
              <w:jc w:val="center"/>
              <w:rPr>
                <w:highlight w:val="none"/>
              </w:rPr>
            </w:pPr>
            <w:r>
              <w:rPr>
                <w:rFonts w:hint="eastAsia"/>
                <w:highlight w:val="none"/>
              </w:rPr>
              <w:t>结构</w:t>
            </w:r>
          </w:p>
        </w:tc>
        <w:tc>
          <w:tcPr>
            <w:tcW w:w="951" w:type="dxa"/>
            <w:vAlign w:val="center"/>
          </w:tcPr>
          <w:p w14:paraId="16474C56">
            <w:pPr>
              <w:pStyle w:val="8"/>
              <w:ind w:firstLine="0" w:firstLineChars="0"/>
              <w:jc w:val="center"/>
              <w:rPr>
                <w:highlight w:val="none"/>
              </w:rPr>
            </w:pPr>
            <w:r>
              <w:rPr>
                <w:rFonts w:hint="eastAsia"/>
                <w:highlight w:val="none"/>
              </w:rPr>
              <w:t>水</w:t>
            </w:r>
          </w:p>
        </w:tc>
        <w:tc>
          <w:tcPr>
            <w:tcW w:w="951" w:type="dxa"/>
            <w:vAlign w:val="center"/>
          </w:tcPr>
          <w:p w14:paraId="0F759B67">
            <w:pPr>
              <w:pStyle w:val="8"/>
              <w:ind w:firstLine="0" w:firstLineChars="0"/>
              <w:jc w:val="center"/>
              <w:rPr>
                <w:highlight w:val="none"/>
              </w:rPr>
            </w:pPr>
            <w:r>
              <w:rPr>
                <w:rFonts w:hint="eastAsia"/>
                <w:highlight w:val="none"/>
              </w:rPr>
              <w:t>暖</w:t>
            </w:r>
          </w:p>
        </w:tc>
        <w:tc>
          <w:tcPr>
            <w:tcW w:w="955" w:type="dxa"/>
            <w:vAlign w:val="center"/>
          </w:tcPr>
          <w:p w14:paraId="0B5CDDC5">
            <w:pPr>
              <w:pStyle w:val="8"/>
              <w:ind w:firstLine="0" w:firstLineChars="0"/>
              <w:jc w:val="center"/>
              <w:rPr>
                <w:highlight w:val="none"/>
              </w:rPr>
            </w:pPr>
            <w:r>
              <w:rPr>
                <w:rFonts w:hint="eastAsia"/>
                <w:highlight w:val="none"/>
              </w:rPr>
              <w:t>电</w:t>
            </w:r>
          </w:p>
        </w:tc>
      </w:tr>
      <w:tr w14:paraId="1A6E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322" w:type="dxa"/>
            <w:vAlign w:val="center"/>
          </w:tcPr>
          <w:p w14:paraId="297BC8DC">
            <w:pPr>
              <w:pStyle w:val="8"/>
              <w:ind w:firstLine="0" w:firstLineChars="0"/>
              <w:jc w:val="center"/>
              <w:rPr>
                <w:rFonts w:hint="default" w:eastAsia="宋体"/>
                <w:highlight w:val="none"/>
                <w:lang w:val="en-US" w:eastAsia="zh-CN"/>
              </w:rPr>
            </w:pPr>
            <w:r>
              <w:rPr>
                <w:rFonts w:hint="eastAsia"/>
                <w:szCs w:val="24"/>
                <w:highlight w:val="none"/>
                <w:lang w:val="en-US" w:eastAsia="zh-CN"/>
              </w:rPr>
              <w:t>绿谷行政楼展厅</w:t>
            </w:r>
          </w:p>
        </w:tc>
        <w:tc>
          <w:tcPr>
            <w:tcW w:w="1481" w:type="dxa"/>
            <w:vAlign w:val="center"/>
          </w:tcPr>
          <w:p w14:paraId="052AB951">
            <w:pPr>
              <w:pStyle w:val="8"/>
              <w:ind w:firstLine="0" w:firstLineChars="0"/>
              <w:jc w:val="center"/>
              <w:rPr>
                <w:highlight w:val="none"/>
              </w:rPr>
            </w:pPr>
            <w:r>
              <w:rPr>
                <w:rFonts w:hint="eastAsia"/>
                <w:highlight w:val="none"/>
              </w:rPr>
              <w:t>约</w:t>
            </w:r>
            <w:r>
              <w:rPr>
                <w:highlight w:val="none"/>
              </w:rPr>
              <w:t>90</w:t>
            </w:r>
            <w:r>
              <w:rPr>
                <w:rFonts w:hint="eastAsia"/>
                <w:highlight w:val="none"/>
              </w:rPr>
              <w:t>㎡</w:t>
            </w:r>
          </w:p>
        </w:tc>
        <w:tc>
          <w:tcPr>
            <w:tcW w:w="951" w:type="dxa"/>
            <w:vAlign w:val="center"/>
          </w:tcPr>
          <w:p w14:paraId="33D4A66C">
            <w:pPr>
              <w:pStyle w:val="8"/>
              <w:ind w:firstLine="0" w:firstLineChars="0"/>
              <w:jc w:val="center"/>
              <w:rPr>
                <w:highlight w:val="none"/>
              </w:rPr>
            </w:pPr>
            <w:r>
              <w:rPr>
                <w:rFonts w:hint="eastAsia"/>
                <w:highlight w:val="none"/>
              </w:rPr>
              <w:t>√</w:t>
            </w:r>
          </w:p>
        </w:tc>
        <w:tc>
          <w:tcPr>
            <w:tcW w:w="951" w:type="dxa"/>
            <w:vAlign w:val="center"/>
          </w:tcPr>
          <w:p w14:paraId="39531A21">
            <w:pPr>
              <w:pStyle w:val="8"/>
              <w:ind w:firstLine="0" w:firstLineChars="0"/>
              <w:jc w:val="center"/>
              <w:rPr>
                <w:highlight w:val="none"/>
              </w:rPr>
            </w:pPr>
            <w:r>
              <w:rPr>
                <w:rFonts w:hint="eastAsia"/>
                <w:highlight w:val="none"/>
              </w:rPr>
              <w:t>√</w:t>
            </w:r>
          </w:p>
        </w:tc>
        <w:tc>
          <w:tcPr>
            <w:tcW w:w="951" w:type="dxa"/>
            <w:vAlign w:val="center"/>
          </w:tcPr>
          <w:p w14:paraId="7B72FBE4">
            <w:pPr>
              <w:pStyle w:val="8"/>
              <w:ind w:firstLine="0" w:firstLineChars="0"/>
              <w:jc w:val="center"/>
              <w:rPr>
                <w:highlight w:val="none"/>
              </w:rPr>
            </w:pPr>
            <w:r>
              <w:rPr>
                <w:rFonts w:hint="eastAsia"/>
                <w:highlight w:val="none"/>
              </w:rPr>
              <w:t>√</w:t>
            </w:r>
          </w:p>
        </w:tc>
        <w:tc>
          <w:tcPr>
            <w:tcW w:w="951" w:type="dxa"/>
            <w:vAlign w:val="center"/>
          </w:tcPr>
          <w:p w14:paraId="057AAA6F">
            <w:pPr>
              <w:pStyle w:val="8"/>
              <w:ind w:firstLine="0" w:firstLineChars="0"/>
              <w:jc w:val="center"/>
              <w:rPr>
                <w:highlight w:val="none"/>
              </w:rPr>
            </w:pPr>
            <w:r>
              <w:rPr>
                <w:rFonts w:hint="eastAsia"/>
                <w:highlight w:val="none"/>
              </w:rPr>
              <w:t>√</w:t>
            </w:r>
          </w:p>
        </w:tc>
        <w:tc>
          <w:tcPr>
            <w:tcW w:w="951" w:type="dxa"/>
            <w:vAlign w:val="center"/>
          </w:tcPr>
          <w:p w14:paraId="0A1A9669">
            <w:pPr>
              <w:pStyle w:val="8"/>
              <w:ind w:firstLine="0" w:firstLineChars="0"/>
              <w:jc w:val="center"/>
              <w:rPr>
                <w:highlight w:val="none"/>
              </w:rPr>
            </w:pPr>
          </w:p>
        </w:tc>
        <w:tc>
          <w:tcPr>
            <w:tcW w:w="955" w:type="dxa"/>
            <w:vAlign w:val="center"/>
          </w:tcPr>
          <w:p w14:paraId="792DC4E1">
            <w:pPr>
              <w:pStyle w:val="8"/>
              <w:ind w:firstLine="0" w:firstLineChars="0"/>
              <w:jc w:val="center"/>
              <w:rPr>
                <w:highlight w:val="none"/>
              </w:rPr>
            </w:pPr>
            <w:r>
              <w:rPr>
                <w:rFonts w:hint="eastAsia"/>
                <w:highlight w:val="none"/>
              </w:rPr>
              <w:t>√</w:t>
            </w:r>
          </w:p>
        </w:tc>
      </w:tr>
      <w:tr w14:paraId="6F6B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322" w:type="dxa"/>
            <w:vAlign w:val="center"/>
          </w:tcPr>
          <w:p w14:paraId="1DF5A02C">
            <w:pPr>
              <w:pStyle w:val="8"/>
              <w:ind w:firstLine="0" w:firstLineChars="0"/>
              <w:jc w:val="center"/>
              <w:rPr>
                <w:rFonts w:hint="eastAsia"/>
                <w:szCs w:val="24"/>
                <w:highlight w:val="none"/>
                <w:lang w:val="en-US" w:eastAsia="zh-CN"/>
              </w:rPr>
            </w:pPr>
            <w:r>
              <w:rPr>
                <w:rFonts w:hint="eastAsia" w:ascii="宋体" w:hAnsi="宋体" w:cs="宋体"/>
                <w:sz w:val="24"/>
                <w:szCs w:val="24"/>
                <w:u w:val="none"/>
                <w:lang w:val="en-US" w:eastAsia="zh-CN"/>
              </w:rPr>
              <w:t>基因库</w:t>
            </w:r>
            <w:r>
              <w:rPr>
                <w:rFonts w:ascii="宋体" w:hAnsi="宋体" w:eastAsia="宋体" w:cs="宋体"/>
                <w:sz w:val="24"/>
                <w:szCs w:val="24"/>
                <w:u w:val="none"/>
              </w:rPr>
              <w:t>一</w:t>
            </w:r>
            <w:r>
              <w:rPr>
                <w:rFonts w:hint="eastAsia" w:ascii="宋体" w:hAnsi="宋体" w:cs="宋体"/>
                <w:sz w:val="24"/>
                <w:szCs w:val="24"/>
                <w:u w:val="none"/>
                <w:lang w:val="en-US" w:eastAsia="zh-CN"/>
              </w:rPr>
              <w:t>层展厅</w:t>
            </w:r>
          </w:p>
        </w:tc>
        <w:tc>
          <w:tcPr>
            <w:tcW w:w="1481" w:type="dxa"/>
            <w:vAlign w:val="center"/>
          </w:tcPr>
          <w:p w14:paraId="4DAA859C">
            <w:pPr>
              <w:pStyle w:val="8"/>
              <w:ind w:firstLine="0" w:firstLineChars="0"/>
              <w:jc w:val="center"/>
              <w:rPr>
                <w:rFonts w:hint="default" w:eastAsia="宋体"/>
                <w:highlight w:val="none"/>
                <w:lang w:val="en-US" w:eastAsia="zh-CN"/>
              </w:rPr>
            </w:pPr>
            <w:r>
              <w:rPr>
                <w:rFonts w:hint="eastAsia"/>
                <w:highlight w:val="none"/>
                <w:lang w:val="en-US" w:eastAsia="zh-CN"/>
              </w:rPr>
              <w:t>约400㎡</w:t>
            </w:r>
          </w:p>
        </w:tc>
        <w:tc>
          <w:tcPr>
            <w:tcW w:w="951" w:type="dxa"/>
            <w:vAlign w:val="center"/>
          </w:tcPr>
          <w:p w14:paraId="6FC2450B">
            <w:pPr>
              <w:pStyle w:val="8"/>
              <w:ind w:firstLine="0" w:firstLineChars="0"/>
              <w:jc w:val="center"/>
              <w:rPr>
                <w:rFonts w:hint="eastAsia"/>
                <w:highlight w:val="none"/>
              </w:rPr>
            </w:pPr>
            <w:r>
              <w:rPr>
                <w:rFonts w:hint="eastAsia"/>
                <w:highlight w:val="none"/>
              </w:rPr>
              <w:t>√</w:t>
            </w:r>
          </w:p>
        </w:tc>
        <w:tc>
          <w:tcPr>
            <w:tcW w:w="951" w:type="dxa"/>
            <w:vAlign w:val="center"/>
          </w:tcPr>
          <w:p w14:paraId="1DE68297">
            <w:pPr>
              <w:pStyle w:val="8"/>
              <w:ind w:firstLine="0" w:firstLineChars="0"/>
              <w:jc w:val="center"/>
              <w:rPr>
                <w:rFonts w:hint="eastAsia"/>
                <w:highlight w:val="none"/>
              </w:rPr>
            </w:pPr>
            <w:r>
              <w:rPr>
                <w:rFonts w:hint="eastAsia"/>
                <w:highlight w:val="none"/>
              </w:rPr>
              <w:t>√</w:t>
            </w:r>
          </w:p>
        </w:tc>
        <w:tc>
          <w:tcPr>
            <w:tcW w:w="951" w:type="dxa"/>
            <w:vAlign w:val="center"/>
          </w:tcPr>
          <w:p w14:paraId="2C3CEBF8">
            <w:pPr>
              <w:pStyle w:val="8"/>
              <w:ind w:firstLine="0" w:firstLineChars="0"/>
              <w:jc w:val="center"/>
              <w:rPr>
                <w:rFonts w:hint="eastAsia"/>
                <w:highlight w:val="none"/>
              </w:rPr>
            </w:pPr>
            <w:r>
              <w:rPr>
                <w:rFonts w:hint="eastAsia"/>
                <w:highlight w:val="none"/>
              </w:rPr>
              <w:t>√</w:t>
            </w:r>
          </w:p>
        </w:tc>
        <w:tc>
          <w:tcPr>
            <w:tcW w:w="951" w:type="dxa"/>
            <w:vAlign w:val="center"/>
          </w:tcPr>
          <w:p w14:paraId="119C6A40">
            <w:pPr>
              <w:pStyle w:val="8"/>
              <w:ind w:firstLine="0" w:firstLineChars="0"/>
              <w:jc w:val="center"/>
              <w:rPr>
                <w:rFonts w:hint="eastAsia"/>
                <w:highlight w:val="none"/>
              </w:rPr>
            </w:pPr>
            <w:r>
              <w:rPr>
                <w:rFonts w:hint="eastAsia"/>
                <w:highlight w:val="none"/>
              </w:rPr>
              <w:t>√</w:t>
            </w:r>
          </w:p>
        </w:tc>
        <w:tc>
          <w:tcPr>
            <w:tcW w:w="951" w:type="dxa"/>
            <w:vAlign w:val="center"/>
          </w:tcPr>
          <w:p w14:paraId="0230E910">
            <w:pPr>
              <w:pStyle w:val="8"/>
              <w:ind w:firstLine="0" w:firstLineChars="0"/>
              <w:jc w:val="center"/>
              <w:rPr>
                <w:rFonts w:hint="eastAsia"/>
                <w:highlight w:val="none"/>
              </w:rPr>
            </w:pPr>
          </w:p>
        </w:tc>
        <w:tc>
          <w:tcPr>
            <w:tcW w:w="955" w:type="dxa"/>
            <w:vAlign w:val="center"/>
          </w:tcPr>
          <w:p w14:paraId="5F41D7C9">
            <w:pPr>
              <w:pStyle w:val="8"/>
              <w:ind w:firstLine="0" w:firstLineChars="0"/>
              <w:jc w:val="center"/>
              <w:rPr>
                <w:rFonts w:hint="eastAsia"/>
                <w:highlight w:val="none"/>
              </w:rPr>
            </w:pPr>
            <w:r>
              <w:rPr>
                <w:rFonts w:hint="eastAsia"/>
                <w:highlight w:val="none"/>
              </w:rPr>
              <w:t>√</w:t>
            </w:r>
          </w:p>
        </w:tc>
      </w:tr>
      <w:tr w14:paraId="3C90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322" w:type="dxa"/>
            <w:vAlign w:val="center"/>
          </w:tcPr>
          <w:p w14:paraId="0C8832B2">
            <w:pPr>
              <w:pStyle w:val="8"/>
              <w:ind w:firstLine="0" w:firstLineChars="0"/>
              <w:jc w:val="center"/>
              <w:rPr>
                <w:rFonts w:hint="default" w:eastAsia="宋体"/>
                <w:highlight w:val="none"/>
                <w:lang w:val="en-US" w:eastAsia="zh-CN"/>
              </w:rPr>
            </w:pPr>
            <w:r>
              <w:rPr>
                <w:rFonts w:hint="eastAsia"/>
                <w:szCs w:val="24"/>
                <w:highlight w:val="none"/>
                <w:lang w:val="en-US" w:eastAsia="zh-CN"/>
              </w:rPr>
              <w:t>儿童房样板间</w:t>
            </w:r>
          </w:p>
        </w:tc>
        <w:tc>
          <w:tcPr>
            <w:tcW w:w="1481" w:type="dxa"/>
            <w:vAlign w:val="center"/>
          </w:tcPr>
          <w:p w14:paraId="0E4DEF29">
            <w:pPr>
              <w:pStyle w:val="8"/>
              <w:ind w:firstLine="0" w:firstLineChars="0"/>
              <w:jc w:val="center"/>
              <w:rPr>
                <w:highlight w:val="none"/>
              </w:rPr>
            </w:pPr>
            <w:r>
              <w:rPr>
                <w:rFonts w:hint="eastAsia"/>
                <w:highlight w:val="none"/>
              </w:rPr>
              <w:t>约</w:t>
            </w:r>
            <w:r>
              <w:rPr>
                <w:rFonts w:hint="eastAsia"/>
                <w:highlight w:val="none"/>
                <w:lang w:val="en-US" w:eastAsia="zh-CN"/>
              </w:rPr>
              <w:t>20</w:t>
            </w:r>
            <w:r>
              <w:rPr>
                <w:rFonts w:hint="eastAsia"/>
                <w:highlight w:val="none"/>
              </w:rPr>
              <w:t>㎡</w:t>
            </w:r>
          </w:p>
        </w:tc>
        <w:tc>
          <w:tcPr>
            <w:tcW w:w="951" w:type="dxa"/>
            <w:vAlign w:val="center"/>
          </w:tcPr>
          <w:p w14:paraId="724444B7">
            <w:pPr>
              <w:pStyle w:val="8"/>
              <w:ind w:firstLine="0" w:firstLineChars="0"/>
              <w:jc w:val="center"/>
              <w:rPr>
                <w:highlight w:val="none"/>
              </w:rPr>
            </w:pPr>
            <w:r>
              <w:rPr>
                <w:rFonts w:hint="eastAsia"/>
                <w:highlight w:val="none"/>
              </w:rPr>
              <w:t>√</w:t>
            </w:r>
          </w:p>
        </w:tc>
        <w:tc>
          <w:tcPr>
            <w:tcW w:w="951" w:type="dxa"/>
            <w:vAlign w:val="center"/>
          </w:tcPr>
          <w:p w14:paraId="7103AFF6">
            <w:pPr>
              <w:pStyle w:val="8"/>
              <w:ind w:firstLine="0" w:firstLineChars="0"/>
              <w:jc w:val="center"/>
              <w:rPr>
                <w:highlight w:val="none"/>
              </w:rPr>
            </w:pPr>
            <w:r>
              <w:rPr>
                <w:rFonts w:hint="eastAsia"/>
                <w:highlight w:val="none"/>
              </w:rPr>
              <w:t>√</w:t>
            </w:r>
          </w:p>
        </w:tc>
        <w:tc>
          <w:tcPr>
            <w:tcW w:w="951" w:type="dxa"/>
            <w:vAlign w:val="center"/>
          </w:tcPr>
          <w:p w14:paraId="09ACD5AA">
            <w:pPr>
              <w:pStyle w:val="8"/>
              <w:ind w:firstLine="0" w:firstLineChars="0"/>
              <w:jc w:val="center"/>
              <w:rPr>
                <w:highlight w:val="none"/>
              </w:rPr>
            </w:pPr>
            <w:r>
              <w:rPr>
                <w:rFonts w:hint="eastAsia"/>
                <w:highlight w:val="none"/>
              </w:rPr>
              <w:t>√</w:t>
            </w:r>
          </w:p>
        </w:tc>
        <w:tc>
          <w:tcPr>
            <w:tcW w:w="951" w:type="dxa"/>
            <w:vAlign w:val="center"/>
          </w:tcPr>
          <w:p w14:paraId="4F5784CC">
            <w:pPr>
              <w:pStyle w:val="8"/>
              <w:ind w:firstLine="0" w:firstLineChars="0"/>
              <w:jc w:val="center"/>
              <w:rPr>
                <w:highlight w:val="none"/>
              </w:rPr>
            </w:pPr>
            <w:r>
              <w:rPr>
                <w:rFonts w:hint="eastAsia"/>
                <w:highlight w:val="none"/>
              </w:rPr>
              <w:t>√</w:t>
            </w:r>
          </w:p>
        </w:tc>
        <w:tc>
          <w:tcPr>
            <w:tcW w:w="951" w:type="dxa"/>
            <w:vAlign w:val="center"/>
          </w:tcPr>
          <w:p w14:paraId="4B91F67C">
            <w:pPr>
              <w:pStyle w:val="8"/>
              <w:ind w:firstLine="0" w:firstLineChars="0"/>
              <w:jc w:val="center"/>
              <w:rPr>
                <w:highlight w:val="none"/>
              </w:rPr>
            </w:pPr>
            <w:r>
              <w:rPr>
                <w:rFonts w:hint="eastAsia"/>
                <w:highlight w:val="none"/>
              </w:rPr>
              <w:t>√</w:t>
            </w:r>
          </w:p>
        </w:tc>
        <w:tc>
          <w:tcPr>
            <w:tcW w:w="955" w:type="dxa"/>
            <w:vAlign w:val="center"/>
          </w:tcPr>
          <w:p w14:paraId="2429D3F0">
            <w:pPr>
              <w:pStyle w:val="8"/>
              <w:ind w:firstLine="0" w:firstLineChars="0"/>
              <w:jc w:val="center"/>
              <w:rPr>
                <w:highlight w:val="none"/>
              </w:rPr>
            </w:pPr>
            <w:r>
              <w:rPr>
                <w:rFonts w:hint="eastAsia"/>
                <w:highlight w:val="none"/>
              </w:rPr>
              <w:t>√</w:t>
            </w:r>
          </w:p>
        </w:tc>
      </w:tr>
      <w:tr w14:paraId="4706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322" w:type="dxa"/>
            <w:vAlign w:val="center"/>
          </w:tcPr>
          <w:p w14:paraId="704C8EF7">
            <w:pPr>
              <w:pStyle w:val="8"/>
              <w:ind w:firstLine="0" w:firstLineChars="0"/>
              <w:jc w:val="center"/>
              <w:rPr>
                <w:rFonts w:hint="eastAsia"/>
                <w:szCs w:val="24"/>
                <w:highlight w:val="none"/>
                <w:lang w:val="en-US" w:eastAsia="zh-CN"/>
              </w:rPr>
            </w:pPr>
            <w:r>
              <w:rPr>
                <w:rFonts w:hint="eastAsia"/>
                <w:szCs w:val="24"/>
                <w:highlight w:val="none"/>
                <w:lang w:val="en-US" w:eastAsia="zh-CN"/>
              </w:rPr>
              <w:t>老人房样板间</w:t>
            </w:r>
          </w:p>
        </w:tc>
        <w:tc>
          <w:tcPr>
            <w:tcW w:w="1481" w:type="dxa"/>
            <w:vAlign w:val="center"/>
          </w:tcPr>
          <w:p w14:paraId="6C9056E2">
            <w:pPr>
              <w:pStyle w:val="8"/>
              <w:ind w:firstLine="0" w:firstLineChars="0"/>
              <w:jc w:val="center"/>
              <w:rPr>
                <w:rFonts w:hint="eastAsia"/>
                <w:highlight w:val="none"/>
              </w:rPr>
            </w:pPr>
            <w:r>
              <w:rPr>
                <w:rFonts w:hint="eastAsia"/>
                <w:highlight w:val="none"/>
              </w:rPr>
              <w:t>约</w:t>
            </w:r>
            <w:r>
              <w:rPr>
                <w:rFonts w:hint="eastAsia"/>
                <w:highlight w:val="none"/>
                <w:lang w:val="en-US" w:eastAsia="zh-CN"/>
              </w:rPr>
              <w:t>12</w:t>
            </w:r>
            <w:r>
              <w:rPr>
                <w:rFonts w:hint="eastAsia"/>
                <w:highlight w:val="none"/>
              </w:rPr>
              <w:t>㎡</w:t>
            </w:r>
          </w:p>
        </w:tc>
        <w:tc>
          <w:tcPr>
            <w:tcW w:w="951" w:type="dxa"/>
            <w:vAlign w:val="center"/>
          </w:tcPr>
          <w:p w14:paraId="63D36AB3">
            <w:pPr>
              <w:pStyle w:val="8"/>
              <w:ind w:firstLine="0" w:firstLineChars="0"/>
              <w:jc w:val="center"/>
              <w:rPr>
                <w:rFonts w:hint="eastAsia"/>
                <w:highlight w:val="none"/>
              </w:rPr>
            </w:pPr>
            <w:r>
              <w:rPr>
                <w:rFonts w:hint="eastAsia"/>
                <w:highlight w:val="none"/>
              </w:rPr>
              <w:t>√</w:t>
            </w:r>
          </w:p>
        </w:tc>
        <w:tc>
          <w:tcPr>
            <w:tcW w:w="951" w:type="dxa"/>
            <w:vAlign w:val="center"/>
          </w:tcPr>
          <w:p w14:paraId="1A67FC0D">
            <w:pPr>
              <w:pStyle w:val="8"/>
              <w:ind w:firstLine="0" w:firstLineChars="0"/>
              <w:jc w:val="center"/>
              <w:rPr>
                <w:rFonts w:hint="eastAsia"/>
                <w:highlight w:val="none"/>
              </w:rPr>
            </w:pPr>
            <w:r>
              <w:rPr>
                <w:rFonts w:hint="eastAsia"/>
                <w:highlight w:val="none"/>
              </w:rPr>
              <w:t>√</w:t>
            </w:r>
          </w:p>
        </w:tc>
        <w:tc>
          <w:tcPr>
            <w:tcW w:w="951" w:type="dxa"/>
            <w:vAlign w:val="center"/>
          </w:tcPr>
          <w:p w14:paraId="634B6803">
            <w:pPr>
              <w:pStyle w:val="8"/>
              <w:ind w:firstLine="0" w:firstLineChars="0"/>
              <w:jc w:val="center"/>
              <w:rPr>
                <w:rFonts w:hint="eastAsia"/>
                <w:highlight w:val="none"/>
              </w:rPr>
            </w:pPr>
            <w:r>
              <w:rPr>
                <w:rFonts w:hint="eastAsia"/>
                <w:highlight w:val="none"/>
              </w:rPr>
              <w:t>√</w:t>
            </w:r>
          </w:p>
        </w:tc>
        <w:tc>
          <w:tcPr>
            <w:tcW w:w="951" w:type="dxa"/>
            <w:vAlign w:val="center"/>
          </w:tcPr>
          <w:p w14:paraId="3C912526">
            <w:pPr>
              <w:pStyle w:val="8"/>
              <w:ind w:firstLine="0" w:firstLineChars="0"/>
              <w:jc w:val="center"/>
              <w:rPr>
                <w:rFonts w:hint="eastAsia"/>
                <w:highlight w:val="none"/>
              </w:rPr>
            </w:pPr>
            <w:r>
              <w:rPr>
                <w:rFonts w:hint="eastAsia"/>
                <w:highlight w:val="none"/>
              </w:rPr>
              <w:t>√</w:t>
            </w:r>
          </w:p>
        </w:tc>
        <w:tc>
          <w:tcPr>
            <w:tcW w:w="951" w:type="dxa"/>
            <w:vAlign w:val="center"/>
          </w:tcPr>
          <w:p w14:paraId="459923ED">
            <w:pPr>
              <w:pStyle w:val="8"/>
              <w:ind w:firstLine="0" w:firstLineChars="0"/>
              <w:jc w:val="center"/>
              <w:rPr>
                <w:rFonts w:hint="eastAsia"/>
                <w:highlight w:val="none"/>
              </w:rPr>
            </w:pPr>
            <w:r>
              <w:rPr>
                <w:rFonts w:hint="eastAsia"/>
                <w:highlight w:val="none"/>
              </w:rPr>
              <w:t>√</w:t>
            </w:r>
          </w:p>
        </w:tc>
        <w:tc>
          <w:tcPr>
            <w:tcW w:w="955" w:type="dxa"/>
            <w:vAlign w:val="center"/>
          </w:tcPr>
          <w:p w14:paraId="17233923">
            <w:pPr>
              <w:pStyle w:val="8"/>
              <w:ind w:firstLine="0" w:firstLineChars="0"/>
              <w:jc w:val="center"/>
              <w:rPr>
                <w:rFonts w:hint="eastAsia"/>
                <w:highlight w:val="none"/>
              </w:rPr>
            </w:pPr>
            <w:r>
              <w:rPr>
                <w:rFonts w:hint="eastAsia"/>
                <w:highlight w:val="none"/>
              </w:rPr>
              <w:t>√</w:t>
            </w:r>
          </w:p>
        </w:tc>
      </w:tr>
      <w:tr w14:paraId="735D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513" w:type="dxa"/>
            <w:gridSpan w:val="8"/>
            <w:vAlign w:val="center"/>
          </w:tcPr>
          <w:p w14:paraId="1AAAF3D0">
            <w:pPr>
              <w:pStyle w:val="8"/>
              <w:ind w:left="960" w:hanging="960" w:hangingChars="400"/>
              <w:jc w:val="left"/>
              <w:rPr>
                <w:szCs w:val="24"/>
              </w:rPr>
            </w:pPr>
            <w:r>
              <w:rPr>
                <w:rFonts w:hint="eastAsia"/>
                <w:szCs w:val="24"/>
              </w:rPr>
              <w:t>备注：</w:t>
            </w:r>
          </w:p>
          <w:p w14:paraId="087D0226">
            <w:pPr>
              <w:pStyle w:val="8"/>
              <w:numPr>
                <w:ilvl w:val="0"/>
                <w:numId w:val="3"/>
              </w:numPr>
              <w:ind w:firstLineChars="0"/>
              <w:jc w:val="left"/>
              <w:rPr>
                <w:szCs w:val="24"/>
              </w:rPr>
            </w:pPr>
            <w:r>
              <w:rPr>
                <w:rFonts w:hint="eastAsia"/>
                <w:szCs w:val="24"/>
              </w:rPr>
              <w:t>专项设计内容包含但不限于以上，由设计供方现场踏勘评估后，在报价阶段充分考虑。</w:t>
            </w:r>
          </w:p>
          <w:p w14:paraId="5AA03F5C">
            <w:pPr>
              <w:pStyle w:val="8"/>
              <w:numPr>
                <w:ilvl w:val="0"/>
                <w:numId w:val="3"/>
              </w:numPr>
              <w:ind w:firstLineChars="0"/>
              <w:jc w:val="left"/>
              <w:rPr>
                <w:szCs w:val="24"/>
              </w:rPr>
            </w:pPr>
            <w:r>
              <w:rPr>
                <w:rFonts w:hint="eastAsia"/>
                <w:szCs w:val="24"/>
              </w:rPr>
              <w:t>设计方案应结合现场实际及整体造价、后期运维等多维度考虑。</w:t>
            </w:r>
          </w:p>
          <w:p w14:paraId="4CD01327">
            <w:pPr>
              <w:pStyle w:val="8"/>
              <w:numPr>
                <w:ilvl w:val="0"/>
                <w:numId w:val="3"/>
              </w:numPr>
              <w:ind w:firstLineChars="0"/>
              <w:jc w:val="left"/>
              <w:rPr>
                <w:sz w:val="21"/>
                <w:szCs w:val="21"/>
              </w:rPr>
            </w:pPr>
            <w:r>
              <w:rPr>
                <w:rFonts w:hint="eastAsia"/>
                <w:szCs w:val="24"/>
              </w:rPr>
              <w:t>因改造项目特殊性，设计图纸及设计说明应描述清楚本项目新建、改造、利旧子项。</w:t>
            </w:r>
          </w:p>
          <w:p w14:paraId="711BB7DD">
            <w:pPr>
              <w:pStyle w:val="8"/>
              <w:numPr>
                <w:ilvl w:val="0"/>
                <w:numId w:val="3"/>
              </w:numPr>
              <w:ind w:firstLineChars="0"/>
              <w:jc w:val="left"/>
              <w:rPr>
                <w:sz w:val="21"/>
                <w:szCs w:val="21"/>
              </w:rPr>
            </w:pPr>
            <w:r>
              <w:rPr>
                <w:rFonts w:hint="eastAsia"/>
                <w:szCs w:val="24"/>
              </w:rPr>
              <w:t>甲方有权决策以上设计子项是否实施，乙方不得以任何理由追加设计费。</w:t>
            </w:r>
          </w:p>
        </w:tc>
      </w:tr>
    </w:tbl>
    <w:p w14:paraId="14662979">
      <w:pPr>
        <w:spacing w:line="360" w:lineRule="auto"/>
        <w:ind w:firstLine="480" w:firstLineChars="200"/>
        <w:rPr>
          <w:rFonts w:cs="宋体" w:asciiTheme="minorEastAsia" w:hAnsiTheme="minorEastAsia" w:eastAsiaTheme="minorEastAsia"/>
          <w:sz w:val="24"/>
          <w:szCs w:val="22"/>
        </w:rPr>
      </w:pPr>
      <w:r>
        <w:rPr>
          <w:rFonts w:hint="eastAsia" w:cs="宋体" w:asciiTheme="minorEastAsia" w:hAnsiTheme="minorEastAsia"/>
          <w:sz w:val="24"/>
          <w:szCs w:val="22"/>
          <w:lang w:val="en-US" w:eastAsia="zh-CN"/>
        </w:rPr>
        <w:t>8、</w:t>
      </w:r>
      <w:r>
        <w:rPr>
          <w:rFonts w:cs="宋体" w:asciiTheme="minorEastAsia" w:hAnsiTheme="minorEastAsia" w:eastAsiaTheme="minorEastAsia"/>
          <w:sz w:val="24"/>
          <w:szCs w:val="22"/>
        </w:rPr>
        <w:t xml:space="preserve"> </w:t>
      </w:r>
      <w:r>
        <w:rPr>
          <w:rFonts w:hint="eastAsia" w:cs="宋体" w:asciiTheme="minorEastAsia" w:hAnsiTheme="minorEastAsia" w:eastAsiaTheme="minorEastAsia"/>
          <w:sz w:val="24"/>
          <w:szCs w:val="22"/>
        </w:rPr>
        <w:t>设计依据：</w:t>
      </w:r>
    </w:p>
    <w:p w14:paraId="18A5987C">
      <w:pPr>
        <w:pStyle w:val="8"/>
        <w:ind w:left="480" w:firstLine="0" w:firstLineChars="0"/>
        <w:rPr>
          <w:rFonts w:asciiTheme="minorEastAsia" w:hAnsiTheme="minorEastAsia" w:eastAsiaTheme="minorEastAsia"/>
        </w:rPr>
      </w:pPr>
      <w:r>
        <w:rPr>
          <w:rFonts w:hint="eastAsia" w:asciiTheme="minorEastAsia" w:hAnsiTheme="minorEastAsia" w:eastAsiaTheme="minorEastAsia"/>
        </w:rPr>
        <w:t>《中华人民共和国消防法》（2021修订版）</w:t>
      </w:r>
    </w:p>
    <w:p w14:paraId="4738A146">
      <w:pPr>
        <w:pStyle w:val="8"/>
        <w:ind w:left="480" w:firstLine="0" w:firstLineChars="0"/>
        <w:rPr>
          <w:rFonts w:asciiTheme="minorEastAsia" w:hAnsiTheme="minorEastAsia" w:eastAsiaTheme="minorEastAsia"/>
        </w:rPr>
      </w:pPr>
      <w:r>
        <w:rPr>
          <w:rFonts w:hint="eastAsia" w:asciiTheme="minorEastAsia" w:hAnsiTheme="minorEastAsia" w:eastAsiaTheme="minorEastAsia"/>
        </w:rPr>
        <w:t>《建筑设计防火规范》GB 50016-2014(2018年版)</w:t>
      </w:r>
    </w:p>
    <w:p w14:paraId="21CBE316">
      <w:pPr>
        <w:pStyle w:val="8"/>
        <w:ind w:left="480" w:firstLine="0" w:firstLineChars="0"/>
        <w:rPr>
          <w:rFonts w:asciiTheme="minorEastAsia" w:hAnsiTheme="minorEastAsia" w:eastAsiaTheme="minorEastAsia"/>
        </w:rPr>
      </w:pPr>
      <w:r>
        <w:rPr>
          <w:rFonts w:hint="eastAsia" w:asciiTheme="minorEastAsia" w:hAnsiTheme="minorEastAsia" w:eastAsiaTheme="minorEastAsia"/>
        </w:rPr>
        <w:t>《民用建筑设计统一标准》GB 50352-2019</w:t>
      </w:r>
    </w:p>
    <w:p w14:paraId="4199A36A">
      <w:pPr>
        <w:pStyle w:val="8"/>
        <w:ind w:left="480" w:firstLine="0" w:firstLineChars="0"/>
        <w:rPr>
          <w:rFonts w:asciiTheme="minorEastAsia" w:hAnsiTheme="minorEastAsia" w:eastAsiaTheme="minorEastAsia"/>
        </w:rPr>
      </w:pPr>
      <w:r>
        <w:rPr>
          <w:rFonts w:hint="eastAsia" w:asciiTheme="minorEastAsia" w:hAnsiTheme="minorEastAsia" w:eastAsiaTheme="minorEastAsia"/>
        </w:rPr>
        <w:t>《建筑灭火器配置设计规范》GB50140-2005</w:t>
      </w:r>
    </w:p>
    <w:p w14:paraId="630A39F6">
      <w:pPr>
        <w:pStyle w:val="8"/>
        <w:ind w:left="480" w:firstLine="0" w:firstLineChars="0"/>
        <w:rPr>
          <w:rFonts w:asciiTheme="minorEastAsia" w:hAnsiTheme="minorEastAsia" w:eastAsiaTheme="minorEastAsia"/>
        </w:rPr>
      </w:pPr>
      <w:r>
        <w:rPr>
          <w:rFonts w:hint="eastAsia" w:asciiTheme="minorEastAsia" w:hAnsiTheme="minorEastAsia" w:eastAsiaTheme="minorEastAsia"/>
        </w:rPr>
        <w:t>《建筑内部装修设计防火规范》GB50222-2017</w:t>
      </w:r>
    </w:p>
    <w:p w14:paraId="69F7F20B">
      <w:pPr>
        <w:pStyle w:val="8"/>
        <w:ind w:left="480" w:firstLine="0" w:firstLineChars="0"/>
        <w:rPr>
          <w:rFonts w:asciiTheme="minorEastAsia" w:hAnsiTheme="minorEastAsia" w:eastAsiaTheme="minorEastAsia"/>
        </w:rPr>
      </w:pPr>
      <w:r>
        <w:rPr>
          <w:rFonts w:hint="eastAsia" w:asciiTheme="minorEastAsia" w:hAnsiTheme="minorEastAsia" w:eastAsiaTheme="minorEastAsia"/>
        </w:rPr>
        <w:t>《建筑给水排水设计标准》</w:t>
      </w:r>
      <w:r>
        <w:rPr>
          <w:rFonts w:asciiTheme="minorEastAsia" w:hAnsiTheme="minorEastAsia" w:eastAsiaTheme="minorEastAsia"/>
        </w:rPr>
        <w:t>GB50015-2019</w:t>
      </w:r>
    </w:p>
    <w:p w14:paraId="4BFA72C3">
      <w:pPr>
        <w:pStyle w:val="8"/>
        <w:ind w:left="480" w:firstLine="0" w:firstLineChars="0"/>
        <w:rPr>
          <w:rFonts w:asciiTheme="minorEastAsia" w:hAnsiTheme="minorEastAsia" w:eastAsiaTheme="minorEastAsia"/>
        </w:rPr>
      </w:pPr>
      <w:r>
        <w:rPr>
          <w:rFonts w:hint="eastAsia" w:asciiTheme="minorEastAsia" w:hAnsiTheme="minorEastAsia" w:eastAsiaTheme="minorEastAsia"/>
        </w:rPr>
        <w:t>《建筑机电工程抗震设计规范》</w:t>
      </w:r>
      <w:r>
        <w:rPr>
          <w:rFonts w:asciiTheme="minorEastAsia" w:hAnsiTheme="minorEastAsia" w:eastAsiaTheme="minorEastAsia"/>
        </w:rPr>
        <w:t>GB50981-2014</w:t>
      </w:r>
    </w:p>
    <w:p w14:paraId="3440A27C">
      <w:pPr>
        <w:pStyle w:val="8"/>
        <w:rPr>
          <w:rFonts w:asciiTheme="minorEastAsia" w:hAnsiTheme="minorEastAsia" w:eastAsiaTheme="minorEastAsia"/>
        </w:rPr>
      </w:pPr>
      <w:r>
        <w:rPr>
          <w:rFonts w:hint="eastAsia" w:asciiTheme="minorEastAsia" w:hAnsiTheme="minorEastAsia" w:eastAsiaTheme="minorEastAsia"/>
        </w:rPr>
        <w:t>《建筑给水排水与节水通用规范》GB55020-2021</w:t>
      </w:r>
    </w:p>
    <w:p w14:paraId="19A31C1E">
      <w:pPr>
        <w:pStyle w:val="8"/>
        <w:ind w:left="480" w:firstLine="0" w:firstLineChars="0"/>
        <w:rPr>
          <w:rFonts w:asciiTheme="minorEastAsia" w:hAnsiTheme="minorEastAsia" w:eastAsiaTheme="minorEastAsia"/>
        </w:rPr>
      </w:pPr>
      <w:r>
        <w:rPr>
          <w:rFonts w:hint="eastAsia" w:asciiTheme="minorEastAsia" w:hAnsiTheme="minorEastAsia" w:eastAsiaTheme="minorEastAsia"/>
        </w:rPr>
        <w:t>《民用建筑供暖通风与空气调节设计规范》GB50736-2012</w:t>
      </w:r>
    </w:p>
    <w:p w14:paraId="4266A966">
      <w:pPr>
        <w:pStyle w:val="8"/>
        <w:ind w:left="480" w:firstLine="0" w:firstLineChars="0"/>
        <w:rPr>
          <w:rFonts w:asciiTheme="minorEastAsia" w:hAnsiTheme="minorEastAsia" w:eastAsiaTheme="minorEastAsia"/>
        </w:rPr>
      </w:pPr>
      <w:r>
        <w:rPr>
          <w:rFonts w:hint="eastAsia" w:asciiTheme="minorEastAsia" w:hAnsiTheme="minorEastAsia" w:eastAsiaTheme="minorEastAsia"/>
        </w:rPr>
        <w:t>《建筑防烟排烟系统技术标准》GB51251-2017</w:t>
      </w:r>
    </w:p>
    <w:p w14:paraId="63D1DD51">
      <w:pPr>
        <w:pStyle w:val="8"/>
        <w:ind w:left="480" w:firstLine="0" w:firstLineChars="0"/>
        <w:rPr>
          <w:rFonts w:asciiTheme="minorEastAsia" w:hAnsiTheme="minorEastAsia" w:eastAsiaTheme="minorEastAsia"/>
        </w:rPr>
      </w:pPr>
      <w:r>
        <w:rPr>
          <w:rFonts w:hint="eastAsia" w:asciiTheme="minorEastAsia" w:hAnsiTheme="minorEastAsia" w:eastAsiaTheme="minorEastAsia"/>
        </w:rPr>
        <w:t>《供配电系统设计规范》GB 50052-2009</w:t>
      </w:r>
    </w:p>
    <w:p w14:paraId="7A029FA9">
      <w:pPr>
        <w:pStyle w:val="8"/>
        <w:ind w:left="480" w:firstLine="0" w:firstLineChars="0"/>
        <w:rPr>
          <w:rFonts w:asciiTheme="minorEastAsia" w:hAnsiTheme="minorEastAsia" w:eastAsiaTheme="minorEastAsia"/>
        </w:rPr>
      </w:pPr>
      <w:r>
        <w:rPr>
          <w:rFonts w:hint="eastAsia" w:asciiTheme="minorEastAsia" w:hAnsiTheme="minorEastAsia" w:eastAsiaTheme="minorEastAsia"/>
        </w:rPr>
        <w:t>《低压配电设计规范》GB 50054-2011</w:t>
      </w:r>
    </w:p>
    <w:p w14:paraId="4D033312">
      <w:pPr>
        <w:pStyle w:val="8"/>
        <w:ind w:left="480" w:firstLine="0" w:firstLineChars="0"/>
        <w:rPr>
          <w:rFonts w:asciiTheme="minorEastAsia" w:hAnsiTheme="minorEastAsia" w:eastAsiaTheme="minorEastAsia"/>
        </w:rPr>
      </w:pPr>
      <w:r>
        <w:rPr>
          <w:rFonts w:hint="eastAsia" w:asciiTheme="minorEastAsia" w:hAnsiTheme="minorEastAsia" w:eastAsiaTheme="minorEastAsia"/>
        </w:rPr>
        <w:t>《民用建筑电气设计标准》GB51348-2019</w:t>
      </w:r>
    </w:p>
    <w:p w14:paraId="212918EE">
      <w:pPr>
        <w:pStyle w:val="8"/>
        <w:ind w:left="480" w:firstLine="0" w:firstLineChars="0"/>
        <w:rPr>
          <w:rFonts w:asciiTheme="minorEastAsia" w:hAnsiTheme="minorEastAsia" w:eastAsiaTheme="minorEastAsia"/>
        </w:rPr>
      </w:pPr>
      <w:r>
        <w:rPr>
          <w:rFonts w:hint="eastAsia" w:asciiTheme="minorEastAsia" w:hAnsiTheme="minorEastAsia" w:eastAsiaTheme="minorEastAsia"/>
        </w:rPr>
        <w:t>《建筑照明设计标准》GB50034-2013</w:t>
      </w:r>
    </w:p>
    <w:p w14:paraId="2C6E60E9">
      <w:pPr>
        <w:pStyle w:val="8"/>
        <w:ind w:left="480" w:firstLine="240" w:firstLineChars="100"/>
        <w:rPr>
          <w:rFonts w:hint="eastAsia" w:asciiTheme="minorEastAsia" w:hAnsiTheme="minorEastAsia" w:eastAsiaTheme="minorEastAsia"/>
        </w:rPr>
      </w:pPr>
      <w:r>
        <w:rPr>
          <w:rFonts w:hint="eastAsia" w:asciiTheme="minorEastAsia" w:hAnsiTheme="minorEastAsia" w:eastAsiaTheme="minorEastAsia"/>
        </w:rPr>
        <w:t>其他相关国家规范及行业标准。</w:t>
      </w:r>
    </w:p>
    <w:p w14:paraId="2A0475A6">
      <w:pPr>
        <w:spacing w:line="336" w:lineRule="auto"/>
        <w:ind w:firstLine="480" w:firstLineChars="200"/>
        <w:rPr>
          <w:rFonts w:cs="宋体" w:asciiTheme="minorEastAsia" w:hAnsiTheme="minorEastAsia" w:eastAsiaTheme="minorEastAsia"/>
          <w:sz w:val="24"/>
          <w:szCs w:val="22"/>
        </w:rPr>
      </w:pPr>
      <w:r>
        <w:rPr>
          <w:rFonts w:hint="eastAsia" w:cs="宋体" w:asciiTheme="minorEastAsia" w:hAnsiTheme="minorEastAsia"/>
          <w:sz w:val="24"/>
          <w:szCs w:val="22"/>
          <w:lang w:val="en-US" w:eastAsia="zh-CN"/>
        </w:rPr>
        <w:t>9、</w:t>
      </w:r>
      <w:r>
        <w:rPr>
          <w:rFonts w:hint="eastAsia" w:cs="宋体" w:asciiTheme="minorEastAsia" w:hAnsiTheme="minorEastAsia" w:eastAsiaTheme="minorEastAsia"/>
          <w:sz w:val="24"/>
          <w:szCs w:val="22"/>
        </w:rPr>
        <w:t>设计要求：</w:t>
      </w:r>
    </w:p>
    <w:tbl>
      <w:tblPr>
        <w:tblStyle w:val="3"/>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984"/>
        <w:gridCol w:w="2126"/>
        <w:gridCol w:w="2127"/>
        <w:gridCol w:w="1499"/>
      </w:tblGrid>
      <w:tr w14:paraId="5813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2" w:type="dxa"/>
          </w:tcPr>
          <w:p w14:paraId="7C08DE7E">
            <w:pPr>
              <w:pStyle w:val="8"/>
              <w:ind w:firstLine="0" w:firstLineChars="0"/>
              <w:jc w:val="center"/>
              <w:rPr>
                <w:b/>
                <w:bCs/>
              </w:rPr>
            </w:pPr>
            <w:r>
              <w:rPr>
                <w:rFonts w:hint="eastAsia"/>
                <w:b/>
                <w:bCs/>
              </w:rPr>
              <w:t>项目名称</w:t>
            </w:r>
          </w:p>
        </w:tc>
        <w:tc>
          <w:tcPr>
            <w:tcW w:w="1984" w:type="dxa"/>
            <w:vAlign w:val="center"/>
          </w:tcPr>
          <w:p w14:paraId="653C79CB">
            <w:pPr>
              <w:pStyle w:val="8"/>
              <w:ind w:firstLine="0" w:firstLineChars="0"/>
              <w:jc w:val="center"/>
              <w:rPr>
                <w:b/>
                <w:bCs/>
              </w:rPr>
            </w:pPr>
            <w:r>
              <w:rPr>
                <w:rFonts w:hint="eastAsia"/>
                <w:b/>
                <w:bCs/>
              </w:rPr>
              <w:t>设计周期</w:t>
            </w:r>
          </w:p>
        </w:tc>
        <w:tc>
          <w:tcPr>
            <w:tcW w:w="2126" w:type="dxa"/>
            <w:vAlign w:val="center"/>
          </w:tcPr>
          <w:p w14:paraId="6A5B05D6">
            <w:pPr>
              <w:pStyle w:val="8"/>
              <w:ind w:firstLine="0" w:firstLineChars="0"/>
              <w:jc w:val="center"/>
              <w:rPr>
                <w:b/>
                <w:bCs/>
              </w:rPr>
            </w:pPr>
            <w:r>
              <w:rPr>
                <w:rFonts w:hint="eastAsia"/>
                <w:b/>
                <w:bCs/>
              </w:rPr>
              <w:t>设计成果</w:t>
            </w:r>
          </w:p>
        </w:tc>
        <w:tc>
          <w:tcPr>
            <w:tcW w:w="2127" w:type="dxa"/>
            <w:vAlign w:val="center"/>
          </w:tcPr>
          <w:p w14:paraId="6A861495">
            <w:pPr>
              <w:pStyle w:val="8"/>
              <w:ind w:firstLine="0" w:firstLineChars="0"/>
              <w:jc w:val="center"/>
              <w:rPr>
                <w:b/>
                <w:bCs/>
              </w:rPr>
            </w:pPr>
            <w:r>
              <w:rPr>
                <w:rFonts w:hint="eastAsia"/>
                <w:b/>
                <w:bCs/>
              </w:rPr>
              <w:t>份数要求（份）</w:t>
            </w:r>
          </w:p>
        </w:tc>
        <w:tc>
          <w:tcPr>
            <w:tcW w:w="1499" w:type="dxa"/>
            <w:vAlign w:val="center"/>
          </w:tcPr>
          <w:p w14:paraId="02F55EA2">
            <w:pPr>
              <w:pStyle w:val="8"/>
              <w:ind w:firstLine="0" w:firstLineChars="0"/>
              <w:jc w:val="center"/>
              <w:rPr>
                <w:b/>
                <w:bCs/>
              </w:rPr>
            </w:pPr>
            <w:r>
              <w:rPr>
                <w:rFonts w:hint="eastAsia"/>
                <w:b/>
                <w:bCs/>
              </w:rPr>
              <w:t>备注</w:t>
            </w:r>
          </w:p>
        </w:tc>
      </w:tr>
      <w:tr w14:paraId="6D02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7E7C2F20">
            <w:pPr>
              <w:pStyle w:val="8"/>
              <w:ind w:firstLine="0" w:firstLineChars="0"/>
              <w:jc w:val="center"/>
              <w:rPr>
                <w:highlight w:val="none"/>
              </w:rPr>
            </w:pPr>
            <w:r>
              <w:rPr>
                <w:rFonts w:hint="eastAsia" w:ascii="宋体" w:hAnsi="宋体" w:cs="宋体"/>
                <w:sz w:val="24"/>
                <w:szCs w:val="24"/>
                <w:u w:val="single"/>
                <w:lang w:val="en-US" w:eastAsia="zh-CN"/>
              </w:rPr>
              <w:t>绿谷行政楼</w:t>
            </w:r>
            <w:r>
              <w:rPr>
                <w:rFonts w:ascii="宋体" w:hAnsi="宋体" w:eastAsia="宋体" w:cs="宋体"/>
                <w:sz w:val="24"/>
                <w:szCs w:val="24"/>
                <w:u w:val="single"/>
              </w:rPr>
              <w:t>一</w:t>
            </w:r>
            <w:r>
              <w:rPr>
                <w:rFonts w:hint="eastAsia" w:ascii="宋体" w:hAnsi="宋体" w:cs="宋体"/>
                <w:sz w:val="24"/>
                <w:szCs w:val="24"/>
                <w:u w:val="single"/>
                <w:lang w:val="en-US" w:eastAsia="zh-CN"/>
              </w:rPr>
              <w:t>层</w:t>
            </w:r>
            <w:r>
              <w:rPr>
                <w:rFonts w:ascii="宋体" w:hAnsi="宋体" w:eastAsia="宋体" w:cs="宋体"/>
                <w:sz w:val="24"/>
                <w:szCs w:val="24"/>
                <w:u w:val="single"/>
              </w:rPr>
              <w:t>和</w:t>
            </w:r>
            <w:r>
              <w:rPr>
                <w:rFonts w:hint="eastAsia" w:ascii="宋体" w:hAnsi="宋体" w:cs="宋体"/>
                <w:sz w:val="24"/>
                <w:szCs w:val="24"/>
                <w:u w:val="single"/>
                <w:lang w:val="en-US" w:eastAsia="zh-CN"/>
              </w:rPr>
              <w:t>基因库</w:t>
            </w:r>
            <w:r>
              <w:rPr>
                <w:rFonts w:ascii="宋体" w:hAnsi="宋体" w:eastAsia="宋体" w:cs="宋体"/>
                <w:sz w:val="24"/>
                <w:szCs w:val="24"/>
                <w:u w:val="single"/>
              </w:rPr>
              <w:t>一</w:t>
            </w:r>
            <w:r>
              <w:rPr>
                <w:rFonts w:hint="eastAsia" w:ascii="宋体" w:hAnsi="宋体" w:cs="宋体"/>
                <w:sz w:val="24"/>
                <w:szCs w:val="24"/>
                <w:u w:val="single"/>
                <w:lang w:val="en-US" w:eastAsia="zh-CN"/>
              </w:rPr>
              <w:t>层</w:t>
            </w:r>
            <w:r>
              <w:rPr>
                <w:rFonts w:hint="eastAsia" w:cs="宋体"/>
                <w:sz w:val="24"/>
                <w:szCs w:val="24"/>
                <w:u w:val="single"/>
                <w:lang w:val="en-US" w:eastAsia="zh-CN"/>
              </w:rPr>
              <w:t>展厅、儿童房、老人房</w:t>
            </w:r>
            <w:r>
              <w:rPr>
                <w:rFonts w:hint="eastAsia" w:ascii="宋体" w:hAnsi="宋体" w:cs="宋体"/>
                <w:sz w:val="24"/>
                <w:szCs w:val="24"/>
                <w:u w:val="single"/>
                <w:lang w:val="en-US" w:eastAsia="zh-CN"/>
              </w:rPr>
              <w:t>样板间</w:t>
            </w:r>
            <w:r>
              <w:rPr>
                <w:rFonts w:ascii="宋体" w:hAnsi="宋体" w:eastAsia="宋体" w:cs="宋体"/>
                <w:sz w:val="24"/>
                <w:szCs w:val="24"/>
                <w:u w:val="single"/>
              </w:rPr>
              <w:t>装修</w:t>
            </w:r>
            <w:r>
              <w:rPr>
                <w:rFonts w:hint="eastAsia" w:ascii="宋体" w:hAnsi="宋体" w:cs="宋体"/>
                <w:sz w:val="24"/>
                <w:szCs w:val="24"/>
                <w:u w:val="single"/>
                <w:lang w:val="en-US" w:eastAsia="zh-CN"/>
              </w:rPr>
              <w:t>设计项目</w:t>
            </w:r>
          </w:p>
        </w:tc>
        <w:tc>
          <w:tcPr>
            <w:tcW w:w="1984" w:type="dxa"/>
            <w:vAlign w:val="center"/>
          </w:tcPr>
          <w:p w14:paraId="2942836D">
            <w:pPr>
              <w:pStyle w:val="8"/>
              <w:ind w:firstLine="0" w:firstLineChars="0"/>
              <w:jc w:val="center"/>
              <w:rPr>
                <w:highlight w:val="none"/>
              </w:rPr>
            </w:pPr>
            <w:r>
              <w:rPr>
                <w:rFonts w:hint="eastAsia"/>
                <w:highlight w:val="none"/>
                <w:lang w:val="en-US" w:eastAsia="zh-CN"/>
              </w:rPr>
              <w:t>每项方案7天，发包方确认后深化图纸</w:t>
            </w:r>
            <w:r>
              <w:rPr>
                <w:highlight w:val="none"/>
              </w:rPr>
              <w:t>1</w:t>
            </w:r>
            <w:r>
              <w:rPr>
                <w:rFonts w:hint="eastAsia"/>
                <w:highlight w:val="none"/>
                <w:lang w:val="en-US" w:eastAsia="zh-CN"/>
              </w:rPr>
              <w:t>0</w:t>
            </w:r>
            <w:r>
              <w:rPr>
                <w:rFonts w:hint="eastAsia"/>
                <w:highlight w:val="none"/>
              </w:rPr>
              <w:t>天</w:t>
            </w:r>
          </w:p>
        </w:tc>
        <w:tc>
          <w:tcPr>
            <w:tcW w:w="2126" w:type="dxa"/>
            <w:vAlign w:val="center"/>
          </w:tcPr>
          <w:p w14:paraId="52FE10B9">
            <w:pPr>
              <w:pStyle w:val="8"/>
              <w:ind w:firstLine="0" w:firstLineChars="0"/>
              <w:jc w:val="center"/>
              <w:rPr>
                <w:highlight w:val="none"/>
              </w:rPr>
            </w:pPr>
            <w:r>
              <w:rPr>
                <w:rFonts w:hint="eastAsia"/>
                <w:highlight w:val="none"/>
              </w:rPr>
              <w:t>电子版+蓝图+效果图</w:t>
            </w:r>
          </w:p>
        </w:tc>
        <w:tc>
          <w:tcPr>
            <w:tcW w:w="2127" w:type="dxa"/>
            <w:vAlign w:val="center"/>
          </w:tcPr>
          <w:p w14:paraId="6480D2D2">
            <w:pPr>
              <w:pStyle w:val="8"/>
              <w:ind w:firstLine="0" w:firstLineChars="0"/>
              <w:jc w:val="center"/>
              <w:rPr>
                <w:rFonts w:hint="eastAsia"/>
                <w:highlight w:val="none"/>
              </w:rPr>
            </w:pPr>
            <w:r>
              <w:rPr>
                <w:rFonts w:hint="eastAsia"/>
                <w:highlight w:val="none"/>
                <w:lang w:val="en-US" w:eastAsia="zh-CN"/>
              </w:rPr>
              <w:t>效果图15</w:t>
            </w:r>
            <w:r>
              <w:rPr>
                <w:rFonts w:hint="eastAsia"/>
                <w:highlight w:val="none"/>
              </w:rPr>
              <w:t>张</w:t>
            </w:r>
          </w:p>
          <w:p w14:paraId="279DB298">
            <w:pPr>
              <w:pStyle w:val="8"/>
              <w:ind w:firstLine="0" w:firstLineChars="0"/>
              <w:jc w:val="center"/>
              <w:rPr>
                <w:rFonts w:hint="default" w:eastAsia="宋体"/>
                <w:highlight w:val="none"/>
                <w:lang w:val="en-US" w:eastAsia="zh-CN"/>
              </w:rPr>
            </w:pPr>
            <w:r>
              <w:rPr>
                <w:rFonts w:hint="eastAsia"/>
                <w:highlight w:val="none"/>
                <w:lang w:val="en-US" w:eastAsia="zh-CN"/>
              </w:rPr>
              <w:t>蓝图4套</w:t>
            </w:r>
          </w:p>
        </w:tc>
        <w:tc>
          <w:tcPr>
            <w:tcW w:w="1499" w:type="dxa"/>
            <w:vAlign w:val="center"/>
          </w:tcPr>
          <w:p w14:paraId="06721DCD">
            <w:pPr>
              <w:pStyle w:val="8"/>
              <w:ind w:firstLine="0" w:firstLineChars="0"/>
              <w:jc w:val="center"/>
              <w:rPr>
                <w:highlight w:val="green"/>
              </w:rPr>
            </w:pPr>
          </w:p>
        </w:tc>
      </w:tr>
      <w:tr w14:paraId="5D8F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8" w:type="dxa"/>
            <w:gridSpan w:val="5"/>
            <w:vAlign w:val="center"/>
          </w:tcPr>
          <w:p w14:paraId="054F7B35">
            <w:pPr>
              <w:pStyle w:val="8"/>
              <w:ind w:left="960" w:hanging="960" w:hangingChars="400"/>
              <w:jc w:val="left"/>
              <w:rPr>
                <w:szCs w:val="24"/>
              </w:rPr>
            </w:pPr>
            <w:r>
              <w:rPr>
                <w:rFonts w:hint="eastAsia"/>
                <w:szCs w:val="24"/>
              </w:rPr>
              <w:t>备注：</w:t>
            </w:r>
          </w:p>
          <w:p w14:paraId="43D8975F">
            <w:pPr>
              <w:pStyle w:val="8"/>
              <w:numPr>
                <w:ilvl w:val="0"/>
                <w:numId w:val="4"/>
              </w:numPr>
              <w:ind w:firstLineChars="0"/>
              <w:jc w:val="left"/>
              <w:rPr>
                <w:szCs w:val="24"/>
              </w:rPr>
            </w:pPr>
            <w:r>
              <w:rPr>
                <w:rFonts w:hint="eastAsia"/>
                <w:szCs w:val="24"/>
              </w:rPr>
              <w:t>以上设计成果均要求设计单位正式盖章出图。</w:t>
            </w:r>
          </w:p>
          <w:p w14:paraId="5C87542E">
            <w:pPr>
              <w:pStyle w:val="8"/>
              <w:numPr>
                <w:ilvl w:val="0"/>
                <w:numId w:val="4"/>
              </w:numPr>
              <w:ind w:firstLineChars="0"/>
              <w:jc w:val="left"/>
            </w:pPr>
            <w:r>
              <w:rPr>
                <w:rFonts w:hint="eastAsia"/>
              </w:rPr>
              <w:t>设计图纸经甲方确认后方可出图。</w:t>
            </w:r>
          </w:p>
          <w:p w14:paraId="7A99B4C8">
            <w:pPr>
              <w:pStyle w:val="8"/>
              <w:numPr>
                <w:ilvl w:val="0"/>
                <w:numId w:val="4"/>
              </w:numPr>
              <w:ind w:firstLineChars="0"/>
              <w:jc w:val="left"/>
            </w:pPr>
            <w:r>
              <w:rPr>
                <w:rFonts w:hint="eastAsia"/>
              </w:rPr>
              <w:t>上述分项工程开始实施前均要求设计单位到现场进行设计交底及图纸会审，图纸会审记录及竣工图纸均需设计单位盖章作为竣工资料进行归档。</w:t>
            </w:r>
          </w:p>
        </w:tc>
      </w:tr>
    </w:tbl>
    <w:p w14:paraId="32512050">
      <w:pPr>
        <w:numPr>
          <w:ilvl w:val="0"/>
          <w:numId w:val="0"/>
        </w:numPr>
        <w:spacing w:line="360" w:lineRule="auto"/>
        <w:ind w:leftChars="0"/>
        <w:jc w:val="left"/>
        <w:rPr>
          <w:rFonts w:hint="eastAsia"/>
          <w:sz w:val="24"/>
          <w:szCs w:val="24"/>
          <w:lang w:val="en-US" w:eastAsia="zh-CN"/>
        </w:rPr>
      </w:pPr>
    </w:p>
    <w:p w14:paraId="61018DEB">
      <w:pPr>
        <w:numPr>
          <w:ilvl w:val="0"/>
          <w:numId w:val="1"/>
        </w:numPr>
        <w:spacing w:line="360" w:lineRule="auto"/>
        <w:ind w:left="0" w:leftChars="0" w:firstLine="0" w:firstLineChars="0"/>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服务预算：140000元。</w:t>
      </w:r>
    </w:p>
    <w:p w14:paraId="0E4416F5">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15BAA7B1">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48FDDAF5">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76DFCAD4">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BBFF78E">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1E6D76FB">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3D0D1442">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635A84EA">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496FC416">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4100A402">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65989D9">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74B5828D">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0E4F01C4">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7398A47E">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02554575">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3EA23EB3">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0BBA0E18">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8FA0DBB">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49F17AD3">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8C9F915">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73B74CBF">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附件1</w:t>
      </w:r>
    </w:p>
    <w:p w14:paraId="7B876642">
      <w:pPr>
        <w:spacing w:before="480" w:after="480" w:line="288" w:lineRule="auto"/>
        <w:ind w:left="0"/>
        <w:jc w:val="center"/>
        <w:rPr>
          <w:rFonts w:hint="eastAsia" w:ascii="仿宋" w:hAnsi="仿宋" w:eastAsia="仿宋" w:cs="仿宋"/>
          <w:sz w:val="16"/>
          <w:szCs w:val="18"/>
        </w:rPr>
      </w:pPr>
      <w:r>
        <w:rPr>
          <w:rFonts w:hint="eastAsia" w:ascii="仿宋" w:hAnsi="仿宋" w:eastAsia="仿宋" w:cs="仿宋"/>
          <w:b/>
          <w:sz w:val="40"/>
          <w:szCs w:val="18"/>
        </w:rPr>
        <w:t>何氏眼科眼基因库一楼文化展厅建设方案</w:t>
      </w:r>
    </w:p>
    <w:p w14:paraId="36EBBDFD">
      <w:pPr>
        <w:spacing w:before="320" w:after="120" w:line="288" w:lineRule="auto"/>
        <w:ind w:left="0"/>
        <w:jc w:val="left"/>
        <w:outlineLvl w:val="1"/>
        <w:rPr>
          <w:rFonts w:hint="eastAsia" w:ascii="仿宋" w:hAnsi="仿宋" w:eastAsia="仿宋" w:cs="仿宋"/>
          <w:sz w:val="22"/>
          <w:szCs w:val="24"/>
        </w:rPr>
      </w:pPr>
      <w:bookmarkStart w:id="0" w:name="heading_0"/>
      <w:r>
        <w:rPr>
          <w:rFonts w:hint="eastAsia" w:ascii="仿宋" w:hAnsi="仿宋" w:eastAsia="仿宋" w:cs="仿宋"/>
          <w:b/>
          <w:sz w:val="36"/>
          <w:szCs w:val="24"/>
        </w:rPr>
        <w:t>一、项目总览</w:t>
      </w:r>
      <w:bookmarkEnd w:id="0"/>
    </w:p>
    <w:p w14:paraId="35967B88">
      <w:pPr>
        <w:spacing w:before="300" w:after="120" w:line="288" w:lineRule="auto"/>
        <w:ind w:left="0"/>
        <w:jc w:val="left"/>
        <w:outlineLvl w:val="2"/>
        <w:rPr>
          <w:rFonts w:hint="eastAsia" w:ascii="仿宋" w:hAnsi="仿宋" w:eastAsia="仿宋" w:cs="仿宋"/>
          <w:sz w:val="22"/>
          <w:szCs w:val="24"/>
        </w:rPr>
      </w:pPr>
      <w:bookmarkStart w:id="1" w:name="heading_1"/>
      <w:r>
        <w:rPr>
          <w:rFonts w:hint="eastAsia" w:ascii="仿宋" w:hAnsi="仿宋" w:eastAsia="仿宋" w:cs="仿宋"/>
          <w:b/>
          <w:sz w:val="32"/>
          <w:szCs w:val="24"/>
        </w:rPr>
        <w:t>（一）项目背景</w:t>
      </w:r>
      <w:bookmarkEnd w:id="1"/>
    </w:p>
    <w:p w14:paraId="21ABD2AB">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本项目为</w:t>
      </w:r>
      <w:r>
        <w:rPr>
          <w:rFonts w:hint="eastAsia" w:ascii="仿宋" w:hAnsi="仿宋" w:eastAsia="仿宋" w:cs="仿宋"/>
          <w:b/>
          <w:sz w:val="24"/>
          <w:szCs w:val="24"/>
        </w:rPr>
        <w:t>何氏眼科眼基因库一楼企业文化建设展厅</w:t>
      </w:r>
      <w:r>
        <w:rPr>
          <w:rFonts w:hint="eastAsia" w:ascii="仿宋" w:hAnsi="仿宋" w:eastAsia="仿宋" w:cs="仿宋"/>
          <w:sz w:val="24"/>
          <w:szCs w:val="24"/>
        </w:rPr>
        <w:t>打造工程，依托何氏眼科集团 “医教研产” 一体化发展格局，以</w:t>
      </w:r>
      <w:r>
        <w:rPr>
          <w:rFonts w:hint="eastAsia" w:ascii="仿宋" w:hAnsi="仿宋" w:eastAsia="仿宋" w:cs="仿宋"/>
          <w:b/>
          <w:sz w:val="24"/>
          <w:szCs w:val="24"/>
        </w:rPr>
        <w:t>何氏智慧光明城</w:t>
      </w:r>
      <w:r>
        <w:rPr>
          <w:rFonts w:hint="eastAsia" w:ascii="仿宋" w:hAnsi="仿宋" w:eastAsia="仿宋" w:cs="仿宋"/>
          <w:sz w:val="24"/>
          <w:szCs w:val="24"/>
        </w:rPr>
        <w:t>为核心脉络，全面呈现集团依托干细胞、基因、大数据、生物材料等前沿技术构建的全周期眼健康智慧服务生态网络。展厅融合企业文化、产业布局、科研成果、智能产品、国际发展等多元内容，结合数字化、智能化展陈形式，打造集文化传播、成果展示、科技体验、科普教育、商务交流于一体的现代化科技文化展厅，同时落地 AI 智能眼健康检查、智慧爱眼小屋等实景体验场景，践行 “防盲治盲、科技惠民” 的企业使命。</w:t>
      </w:r>
    </w:p>
    <w:p w14:paraId="0EDEFA6A">
      <w:pPr>
        <w:spacing w:before="300" w:after="120" w:line="288" w:lineRule="auto"/>
        <w:ind w:left="0"/>
        <w:jc w:val="left"/>
        <w:outlineLvl w:val="2"/>
        <w:rPr>
          <w:rFonts w:hint="eastAsia" w:ascii="仿宋" w:hAnsi="仿宋" w:eastAsia="仿宋" w:cs="仿宋"/>
          <w:sz w:val="22"/>
          <w:szCs w:val="24"/>
        </w:rPr>
      </w:pPr>
      <w:bookmarkStart w:id="2" w:name="heading_2"/>
      <w:r>
        <w:rPr>
          <w:rFonts w:hint="eastAsia" w:ascii="仿宋" w:hAnsi="仿宋" w:eastAsia="仿宋" w:cs="仿宋"/>
          <w:b/>
          <w:sz w:val="32"/>
          <w:szCs w:val="24"/>
        </w:rPr>
        <w:t>（二）项目定位</w:t>
      </w:r>
      <w:bookmarkEnd w:id="2"/>
    </w:p>
    <w:p w14:paraId="497E4B92">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b/>
          <w:sz w:val="24"/>
          <w:szCs w:val="24"/>
        </w:rPr>
        <w:t>文化阵地</w:t>
      </w:r>
      <w:r>
        <w:rPr>
          <w:rFonts w:hint="eastAsia" w:ascii="仿宋" w:hAnsi="仿宋" w:eastAsia="仿宋" w:cs="仿宋"/>
          <w:sz w:val="24"/>
          <w:szCs w:val="24"/>
        </w:rPr>
        <w:t>：集中展示何氏眼科发展历程、企业文化、办学理念与企业社会责任，传递 “何你携手，共向未来” 的品牌精神。</w:t>
      </w:r>
    </w:p>
    <w:p w14:paraId="55FF0689">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b/>
          <w:sz w:val="24"/>
          <w:szCs w:val="24"/>
        </w:rPr>
        <w:t>产业窗口</w:t>
      </w:r>
      <w:r>
        <w:rPr>
          <w:rFonts w:hint="eastAsia" w:ascii="仿宋" w:hAnsi="仿宋" w:eastAsia="仿宋" w:cs="仿宋"/>
          <w:sz w:val="24"/>
          <w:szCs w:val="24"/>
        </w:rPr>
        <w:t>：完整呈现眼健康全产业链布局，凸显医教融合、产学研转化、全球化布局的核心优势。</w:t>
      </w:r>
    </w:p>
    <w:p w14:paraId="085B7B59">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b/>
          <w:sz w:val="24"/>
          <w:szCs w:val="24"/>
        </w:rPr>
        <w:t>科研高地</w:t>
      </w:r>
      <w:r>
        <w:rPr>
          <w:rFonts w:hint="eastAsia" w:ascii="仿宋" w:hAnsi="仿宋" w:eastAsia="仿宋" w:cs="仿宋"/>
          <w:sz w:val="24"/>
          <w:szCs w:val="24"/>
        </w:rPr>
        <w:t>：重点展示眼基因库、合成生物、眼科药物、人工智能、生物材料等十大创新平台的科研实力与技术成果。</w:t>
      </w:r>
    </w:p>
    <w:p w14:paraId="374DBEE3">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b/>
          <w:sz w:val="24"/>
          <w:szCs w:val="24"/>
        </w:rPr>
        <w:t>体验空间</w:t>
      </w:r>
      <w:r>
        <w:rPr>
          <w:rFonts w:hint="eastAsia" w:ascii="仿宋" w:hAnsi="仿宋" w:eastAsia="仿宋" w:cs="仿宋"/>
          <w:sz w:val="24"/>
          <w:szCs w:val="24"/>
        </w:rPr>
        <w:t>：以</w:t>
      </w:r>
      <w:r>
        <w:rPr>
          <w:rFonts w:hint="eastAsia" w:ascii="仿宋" w:hAnsi="仿宋" w:eastAsia="仿宋" w:cs="仿宋"/>
          <w:b/>
          <w:sz w:val="24"/>
          <w:szCs w:val="24"/>
        </w:rPr>
        <w:t>AI 智能眼健康、智慧爱眼小屋</w:t>
      </w:r>
      <w:r>
        <w:rPr>
          <w:rFonts w:hint="eastAsia" w:ascii="仿宋" w:hAnsi="仿宋" w:eastAsia="仿宋" w:cs="仿宋"/>
          <w:sz w:val="24"/>
          <w:szCs w:val="24"/>
        </w:rPr>
        <w:t>为核心体验区，打造沉浸式、互动式眼健康科技体验场景，面向大众、研学群体、合作方开展实景体验与科普服务。</w:t>
      </w:r>
    </w:p>
    <w:p w14:paraId="37AFBBEB">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b/>
          <w:sz w:val="24"/>
          <w:szCs w:val="24"/>
        </w:rPr>
        <w:t>交流平台</w:t>
      </w:r>
      <w:r>
        <w:rPr>
          <w:rFonts w:hint="eastAsia" w:ascii="仿宋" w:hAnsi="仿宋" w:eastAsia="仿宋" w:cs="仿宋"/>
          <w:sz w:val="24"/>
          <w:szCs w:val="24"/>
        </w:rPr>
        <w:t>：承接参观考察、学术交流、成果展示、商务洽谈等活动，树立行业标杆品牌形象。</w:t>
      </w:r>
    </w:p>
    <w:p w14:paraId="00A98B8C">
      <w:pPr>
        <w:spacing w:before="300" w:after="120" w:line="288" w:lineRule="auto"/>
        <w:ind w:left="0"/>
        <w:jc w:val="left"/>
        <w:outlineLvl w:val="2"/>
        <w:rPr>
          <w:rFonts w:hint="eastAsia" w:ascii="仿宋" w:hAnsi="仿宋" w:eastAsia="仿宋" w:cs="仿宋"/>
          <w:sz w:val="22"/>
          <w:szCs w:val="24"/>
        </w:rPr>
      </w:pPr>
      <w:bookmarkStart w:id="3" w:name="heading_3"/>
      <w:r>
        <w:rPr>
          <w:rFonts w:hint="eastAsia" w:ascii="仿宋" w:hAnsi="仿宋" w:eastAsia="仿宋" w:cs="仿宋"/>
          <w:b/>
          <w:sz w:val="32"/>
          <w:szCs w:val="24"/>
        </w:rPr>
        <w:t>（三）设计理念</w:t>
      </w:r>
      <w:bookmarkEnd w:id="3"/>
    </w:p>
    <w:p w14:paraId="31E24E4C">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整体遵循</w:t>
      </w:r>
      <w:r>
        <w:rPr>
          <w:rFonts w:hint="eastAsia" w:ascii="仿宋" w:hAnsi="仿宋" w:eastAsia="仿宋" w:cs="仿宋"/>
          <w:b/>
          <w:sz w:val="24"/>
          <w:szCs w:val="24"/>
        </w:rPr>
        <w:t>科技赋能、文化为魂、虚实结合、动线流畅</w:t>
      </w:r>
      <w:r>
        <w:rPr>
          <w:rFonts w:hint="eastAsia" w:ascii="仿宋" w:hAnsi="仿宋" w:eastAsia="仿宋" w:cs="仿宋"/>
          <w:sz w:val="24"/>
          <w:szCs w:val="24"/>
        </w:rPr>
        <w:t>四大原则，风格采用现代简约风 + 未来科技风，主色调融合企业标准色、科技蓝与纯净白，搭配金属质感材质，凸显医疗严谨性与科技前瞻性。展厅采用</w:t>
      </w:r>
      <w:r>
        <w:rPr>
          <w:rFonts w:hint="eastAsia" w:ascii="仿宋" w:hAnsi="仿宋" w:eastAsia="仿宋" w:cs="仿宋"/>
          <w:b/>
          <w:sz w:val="24"/>
          <w:szCs w:val="24"/>
        </w:rPr>
        <w:t>单向闭环参观动线</w:t>
      </w:r>
      <w:r>
        <w:rPr>
          <w:rFonts w:hint="eastAsia" w:ascii="仿宋" w:hAnsi="仿宋" w:eastAsia="仿宋" w:cs="仿宋"/>
          <w:sz w:val="24"/>
          <w:szCs w:val="24"/>
        </w:rPr>
        <w:t>，分区明确、层层递进，静态图文展陈与动态多媒体、智能互动设备相结合，灯光采用全域柔和白光 + 分区氛围灯带，区分文化区、产业区、科研区、体验区，实现 “光影随景动，场景随情变”。同时结合展厅原有尺寸标注、LED 大屏点位，合理规划展陈、设备、动线及功能分区，兼顾实用性、观赏性与运维便捷性。</w:t>
      </w:r>
    </w:p>
    <w:p w14:paraId="627B28C4">
      <w:pPr>
        <w:spacing w:before="300" w:after="120" w:line="288" w:lineRule="auto"/>
        <w:ind w:left="0"/>
        <w:jc w:val="left"/>
        <w:outlineLvl w:val="2"/>
        <w:rPr>
          <w:rFonts w:hint="eastAsia" w:ascii="仿宋" w:hAnsi="仿宋" w:eastAsia="仿宋" w:cs="仿宋"/>
          <w:sz w:val="22"/>
          <w:szCs w:val="24"/>
        </w:rPr>
      </w:pPr>
      <w:bookmarkStart w:id="4" w:name="heading_4"/>
      <w:r>
        <w:rPr>
          <w:rFonts w:hint="eastAsia" w:ascii="仿宋" w:hAnsi="仿宋" w:eastAsia="仿宋" w:cs="仿宋"/>
          <w:b/>
          <w:sz w:val="32"/>
          <w:szCs w:val="24"/>
        </w:rPr>
        <w:t>（四）基础参数与硬件基础</w:t>
      </w:r>
      <w:bookmarkEnd w:id="4"/>
    </w:p>
    <w:p w14:paraId="5CEA643B">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展厅位于眼基因库一楼，配套原有硬件：7m×3m 大型 LED 主屏，全区域预留多媒体线路、供电接口；核心体验区参考既定尺寸：AI 智能眼健康检查区 4.7m×2.6m，智慧爱眼小屋区域 3.6m×3.8m，全域采用模块化展具设计，便于后期内容更新、设备迭代与场景改造。</w:t>
      </w:r>
    </w:p>
    <w:p w14:paraId="38815F47">
      <w:pPr>
        <w:spacing w:before="320" w:after="120" w:line="288" w:lineRule="auto"/>
        <w:ind w:left="0"/>
        <w:jc w:val="left"/>
        <w:outlineLvl w:val="1"/>
        <w:rPr>
          <w:rFonts w:hint="eastAsia" w:ascii="仿宋" w:hAnsi="仿宋" w:eastAsia="仿宋" w:cs="仿宋"/>
          <w:sz w:val="22"/>
          <w:szCs w:val="24"/>
        </w:rPr>
      </w:pPr>
      <w:bookmarkStart w:id="5" w:name="heading_5"/>
      <w:r>
        <w:rPr>
          <w:rFonts w:hint="eastAsia" w:ascii="仿宋" w:hAnsi="仿宋" w:eastAsia="仿宋" w:cs="仿宋"/>
          <w:b/>
          <w:sz w:val="36"/>
          <w:szCs w:val="24"/>
        </w:rPr>
        <w:t>二、整体布局与参观动线设计</w:t>
      </w:r>
      <w:bookmarkEnd w:id="5"/>
    </w:p>
    <w:p w14:paraId="186657CE">
      <w:pPr>
        <w:spacing w:before="300" w:after="120" w:line="288" w:lineRule="auto"/>
        <w:ind w:left="0"/>
        <w:jc w:val="left"/>
        <w:outlineLvl w:val="2"/>
        <w:rPr>
          <w:rFonts w:hint="eastAsia" w:ascii="仿宋" w:hAnsi="仿宋" w:eastAsia="仿宋" w:cs="仿宋"/>
          <w:sz w:val="22"/>
          <w:szCs w:val="24"/>
        </w:rPr>
      </w:pPr>
      <w:bookmarkStart w:id="6" w:name="heading_6"/>
      <w:r>
        <w:rPr>
          <w:rFonts w:hint="eastAsia" w:ascii="仿宋" w:hAnsi="仿宋" w:eastAsia="仿宋" w:cs="仿宋"/>
          <w:b/>
          <w:sz w:val="32"/>
          <w:szCs w:val="24"/>
        </w:rPr>
        <w:t>（一）整体分区规划</w:t>
      </w:r>
      <w:bookmarkEnd w:id="6"/>
    </w:p>
    <w:p w14:paraId="2997CF14">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结合展厅面积、原有布局、功能需求及十大展示模块，将展厅划分为</w:t>
      </w:r>
      <w:r>
        <w:rPr>
          <w:rFonts w:hint="eastAsia" w:ascii="仿宋" w:hAnsi="仿宋" w:eastAsia="仿宋" w:cs="仿宋"/>
          <w:b/>
          <w:sz w:val="24"/>
          <w:szCs w:val="24"/>
        </w:rPr>
        <w:t>序厅迎宾区、企业文化综合展区、产业集群展区、核心科研平台展区、智能眼健康体验核心区、全球化发展与未来展望区、配套服务区</w:t>
      </w:r>
      <w:r>
        <w:rPr>
          <w:rFonts w:hint="eastAsia" w:ascii="仿宋" w:hAnsi="仿宋" w:eastAsia="仿宋" w:cs="仿宋"/>
          <w:sz w:val="24"/>
          <w:szCs w:val="24"/>
        </w:rPr>
        <w:t>七大功能区域，完整串联 11 大展示模块，模块九（眼健康智慧医疗创新平台）作为全场重点展区强化打造。</w:t>
      </w:r>
    </w:p>
    <w:p w14:paraId="468D5360">
      <w:pPr>
        <w:spacing w:before="300" w:after="120" w:line="288" w:lineRule="auto"/>
        <w:ind w:left="0"/>
        <w:jc w:val="left"/>
        <w:outlineLvl w:val="2"/>
        <w:rPr>
          <w:rFonts w:hint="eastAsia" w:ascii="仿宋" w:hAnsi="仿宋" w:eastAsia="仿宋" w:cs="仿宋"/>
          <w:sz w:val="22"/>
          <w:szCs w:val="24"/>
        </w:rPr>
      </w:pPr>
      <w:bookmarkStart w:id="7" w:name="heading_7"/>
      <w:r>
        <w:rPr>
          <w:rFonts w:hint="eastAsia" w:ascii="仿宋" w:hAnsi="仿宋" w:eastAsia="仿宋" w:cs="仿宋"/>
          <w:b/>
          <w:sz w:val="32"/>
          <w:szCs w:val="24"/>
        </w:rPr>
        <w:t>（二）参观动线（单向闭环，无折返）</w:t>
      </w:r>
      <w:bookmarkEnd w:id="7"/>
    </w:p>
    <w:p w14:paraId="58802F4C">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入间处（入口）→序厅迎宾区→模块一（何氏眼科集团介绍）→模块二（辽宁何氏医学院）→模块三（何氏眼产业集团）→模块四（光明小镇）→模块五（眼基因库）→模块六（合成生物创新平台）→模块七（眼科药物创新平台）→模块八（人工智能数据中心）→模块九（眼健康智慧医疗创新平台・核心体验区）→模块十（生物材料创新平台）→模块十一（全球化和国际建设基地）→未来展望区→配套服务区（休息、洽谈、出口）。</w:t>
      </w:r>
    </w:p>
    <w:p w14:paraId="35177ABF">
      <w:pPr>
        <w:spacing w:before="300" w:after="120" w:line="288" w:lineRule="auto"/>
        <w:ind w:left="0"/>
        <w:jc w:val="left"/>
        <w:outlineLvl w:val="2"/>
        <w:rPr>
          <w:rFonts w:hint="eastAsia" w:ascii="仿宋" w:hAnsi="仿宋" w:eastAsia="仿宋" w:cs="仿宋"/>
          <w:sz w:val="22"/>
          <w:szCs w:val="24"/>
        </w:rPr>
      </w:pPr>
      <w:bookmarkStart w:id="8" w:name="heading_8"/>
      <w:r>
        <w:rPr>
          <w:rFonts w:hint="eastAsia" w:ascii="仿宋" w:hAnsi="仿宋" w:eastAsia="仿宋" w:cs="仿宋"/>
          <w:b/>
          <w:sz w:val="32"/>
          <w:szCs w:val="24"/>
        </w:rPr>
        <w:t>（三）尺寸与点位适配</w:t>
      </w:r>
      <w:bookmarkEnd w:id="8"/>
    </w:p>
    <w:p w14:paraId="760769EB">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严格沿用展厅原始尺寸标注数据，7m×3m 主 LED 屏设置于序厅核心位置；AI 智能眼健康检查区、智慧爱眼小屋按既定 4.7m/2.6m、3.6m/3.8m 尺寸独立分区布局，各展区通道宽度符合人流通行标准，保障参观流畅性。</w:t>
      </w:r>
    </w:p>
    <w:p w14:paraId="02916F7E">
      <w:pPr>
        <w:spacing w:before="320" w:after="120" w:line="288" w:lineRule="auto"/>
        <w:ind w:left="0"/>
        <w:jc w:val="left"/>
        <w:outlineLvl w:val="1"/>
        <w:rPr>
          <w:rFonts w:hint="eastAsia" w:ascii="仿宋" w:hAnsi="仿宋" w:eastAsia="仿宋" w:cs="仿宋"/>
          <w:sz w:val="22"/>
          <w:szCs w:val="24"/>
        </w:rPr>
      </w:pPr>
      <w:bookmarkStart w:id="9" w:name="heading_9"/>
      <w:r>
        <w:rPr>
          <w:rFonts w:hint="eastAsia" w:ascii="仿宋" w:hAnsi="仿宋" w:eastAsia="仿宋" w:cs="仿宋"/>
          <w:b/>
          <w:sz w:val="36"/>
          <w:szCs w:val="24"/>
        </w:rPr>
        <w:t>三、各分区详细建设方案（对应 11 大展示模块）</w:t>
      </w:r>
      <w:bookmarkEnd w:id="9"/>
    </w:p>
    <w:p w14:paraId="6199A8C7">
      <w:pPr>
        <w:spacing w:before="300" w:after="120" w:line="288" w:lineRule="auto"/>
        <w:ind w:left="0"/>
        <w:jc w:val="left"/>
        <w:outlineLvl w:val="2"/>
        <w:rPr>
          <w:rFonts w:hint="eastAsia" w:ascii="仿宋" w:hAnsi="仿宋" w:eastAsia="仿宋" w:cs="仿宋"/>
          <w:sz w:val="22"/>
          <w:szCs w:val="24"/>
        </w:rPr>
      </w:pPr>
      <w:bookmarkStart w:id="10" w:name="heading_10"/>
      <w:r>
        <w:rPr>
          <w:rFonts w:hint="eastAsia" w:ascii="仿宋" w:hAnsi="仿宋" w:eastAsia="仿宋" w:cs="仿宋"/>
          <w:b/>
          <w:sz w:val="32"/>
          <w:szCs w:val="24"/>
        </w:rPr>
        <w:t>第一区域：序厅迎宾区（入口区域）</w:t>
      </w:r>
      <w:bookmarkEnd w:id="10"/>
    </w:p>
    <w:p w14:paraId="74B1B1C8">
      <w:pPr>
        <w:spacing w:before="260" w:after="120" w:line="288" w:lineRule="auto"/>
        <w:ind w:left="0"/>
        <w:jc w:val="left"/>
        <w:outlineLvl w:val="3"/>
        <w:rPr>
          <w:rFonts w:hint="eastAsia" w:ascii="仿宋" w:hAnsi="仿宋" w:eastAsia="仿宋" w:cs="仿宋"/>
          <w:sz w:val="22"/>
          <w:szCs w:val="24"/>
        </w:rPr>
      </w:pPr>
      <w:bookmarkStart w:id="11" w:name="heading_11"/>
      <w:r>
        <w:rPr>
          <w:rFonts w:hint="eastAsia" w:ascii="仿宋" w:hAnsi="仿宋" w:eastAsia="仿宋" w:cs="仿宋"/>
          <w:b/>
          <w:sz w:val="32"/>
          <w:szCs w:val="24"/>
        </w:rPr>
        <w:t>1. 核心展示内容</w:t>
      </w:r>
      <w:bookmarkEnd w:id="11"/>
    </w:p>
    <w:p w14:paraId="6B82309E">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主视觉形象墙：镌刻品牌标语</w:t>
      </w:r>
      <w:r>
        <w:rPr>
          <w:rFonts w:hint="eastAsia" w:ascii="仿宋" w:hAnsi="仿宋" w:eastAsia="仿宋" w:cs="仿宋"/>
          <w:b/>
          <w:sz w:val="24"/>
          <w:szCs w:val="24"/>
        </w:rPr>
        <w:t>何你携手，共向未来</w:t>
      </w:r>
      <w:r>
        <w:rPr>
          <w:rFonts w:hint="eastAsia" w:ascii="仿宋" w:hAnsi="仿宋" w:eastAsia="仿宋" w:cs="仿宋"/>
          <w:sz w:val="24"/>
          <w:szCs w:val="24"/>
        </w:rPr>
        <w:t>、何氏眼科 LOGO、眼基因库、eyerobo（爱络博）品牌标识，凸显 “防盲治盲，科技惠民” 核心使命。</w:t>
      </w:r>
    </w:p>
    <w:p w14:paraId="6A36220E">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7m×3m 超大 LED 主屏：循环播放集团整体宣传片，内容涵盖智慧光明城全景、全产业链布局、科技惠民成果、眼健康服务场景，动态呈现企业整体形象。</w:t>
      </w:r>
    </w:p>
    <w:p w14:paraId="0CB3888E">
      <w:pPr>
        <w:spacing w:before="260" w:after="120" w:line="288" w:lineRule="auto"/>
        <w:ind w:left="0"/>
        <w:jc w:val="left"/>
        <w:outlineLvl w:val="3"/>
        <w:rPr>
          <w:rFonts w:hint="eastAsia" w:ascii="仿宋" w:hAnsi="仿宋" w:eastAsia="仿宋" w:cs="仿宋"/>
          <w:b/>
          <w:sz w:val="32"/>
          <w:szCs w:val="24"/>
          <w:lang w:eastAsia="zh-CN"/>
        </w:rPr>
      </w:pPr>
      <w:bookmarkStart w:id="12" w:name="heading_12"/>
      <w:r>
        <w:rPr>
          <w:rFonts w:hint="eastAsia" w:ascii="仿宋" w:hAnsi="仿宋" w:eastAsia="仿宋" w:cs="仿宋"/>
          <w:b/>
          <w:sz w:val="32"/>
          <w:szCs w:val="24"/>
        </w:rPr>
        <w:t>2. 设计与硬件配置</w:t>
      </w:r>
      <w:bookmarkEnd w:id="12"/>
      <w:r>
        <w:rPr>
          <w:rFonts w:hint="eastAsia" w:ascii="仿宋" w:hAnsi="仿宋" w:eastAsia="仿宋" w:cs="仿宋"/>
          <w:b/>
          <w:sz w:val="32"/>
          <w:szCs w:val="24"/>
          <w:lang w:eastAsia="zh-CN"/>
        </w:rPr>
        <w:t>（</w:t>
      </w:r>
      <w:r>
        <w:rPr>
          <w:rFonts w:hint="eastAsia" w:ascii="仿宋" w:hAnsi="仿宋" w:eastAsia="仿宋" w:cs="仿宋"/>
          <w:b/>
          <w:sz w:val="32"/>
          <w:szCs w:val="24"/>
          <w:lang w:val="en-US" w:eastAsia="zh-CN"/>
        </w:rPr>
        <w:t>待定</w:t>
      </w:r>
      <w:r>
        <w:rPr>
          <w:rFonts w:hint="eastAsia" w:ascii="仿宋" w:hAnsi="仿宋" w:eastAsia="仿宋" w:cs="仿宋"/>
          <w:b/>
          <w:sz w:val="32"/>
          <w:szCs w:val="24"/>
          <w:lang w:eastAsia="zh-CN"/>
        </w:rPr>
        <w:t>）</w:t>
      </w:r>
    </w:p>
    <w:p w14:paraId="3DBF3F2C">
      <w:pPr>
        <w:numPr>
          <w:ilvl w:val="0"/>
          <w:numId w:val="0"/>
        </w:numPr>
        <w:spacing w:before="120" w:after="120" w:line="288" w:lineRule="auto"/>
        <w:jc w:val="left"/>
        <w:rPr>
          <w:rFonts w:hint="eastAsia" w:ascii="仿宋" w:hAnsi="仿宋" w:eastAsia="仿宋" w:cs="仿宋"/>
          <w:sz w:val="24"/>
          <w:szCs w:val="24"/>
        </w:rPr>
      </w:pPr>
      <w:r>
        <w:rPr>
          <w:rFonts w:hint="eastAsia" w:ascii="仿宋" w:hAnsi="仿宋" w:eastAsia="仿宋" w:cs="仿宋"/>
          <w:sz w:val="24"/>
          <w:szCs w:val="24"/>
        </w:rPr>
        <w:t>整体采用简约大气造型，地面通铺防滑耐磨地坪，墙面采用哑光环保板材 + 金属线条装饰；LED 屏做防眩光处理，搭配顶部线性氛围灯；入口设置形象立牌，标注 “眼基因库企业文化建设展厅” 名称。</w:t>
      </w:r>
    </w:p>
    <w:p w14:paraId="0CB0D11C">
      <w:pPr>
        <w:spacing w:before="300" w:after="120" w:line="288" w:lineRule="auto"/>
        <w:ind w:left="0"/>
        <w:jc w:val="left"/>
        <w:outlineLvl w:val="2"/>
        <w:rPr>
          <w:rFonts w:hint="eastAsia" w:ascii="仿宋" w:hAnsi="仿宋" w:eastAsia="仿宋" w:cs="仿宋"/>
          <w:sz w:val="22"/>
          <w:szCs w:val="24"/>
        </w:rPr>
      </w:pPr>
      <w:bookmarkStart w:id="13" w:name="heading_13"/>
      <w:r>
        <w:rPr>
          <w:rFonts w:hint="eastAsia" w:ascii="仿宋" w:hAnsi="仿宋" w:eastAsia="仿宋" w:cs="仿宋"/>
          <w:b/>
          <w:sz w:val="32"/>
          <w:szCs w:val="24"/>
        </w:rPr>
        <w:t>第二区域：企业文化综合展区（模块一、模块二）</w:t>
      </w:r>
      <w:bookmarkEnd w:id="13"/>
    </w:p>
    <w:p w14:paraId="1FAECAA0">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本区域聚焦</w:t>
      </w:r>
      <w:r>
        <w:rPr>
          <w:rFonts w:hint="eastAsia" w:ascii="仿宋" w:hAnsi="仿宋" w:eastAsia="仿宋" w:cs="仿宋"/>
          <w:b/>
          <w:sz w:val="24"/>
          <w:szCs w:val="24"/>
        </w:rPr>
        <w:t>医教一体</w:t>
      </w:r>
      <w:r>
        <w:rPr>
          <w:rFonts w:hint="eastAsia" w:ascii="仿宋" w:hAnsi="仿宋" w:eastAsia="仿宋" w:cs="仿宋"/>
          <w:sz w:val="24"/>
          <w:szCs w:val="24"/>
        </w:rPr>
        <w:t>核心特色，分为两大子展区，以静态展墙 + 多媒体短片结合形式展示。</w:t>
      </w:r>
    </w:p>
    <w:p w14:paraId="180B3ED7">
      <w:pPr>
        <w:spacing w:before="260" w:after="120" w:line="288" w:lineRule="auto"/>
        <w:ind w:left="0"/>
        <w:jc w:val="left"/>
        <w:outlineLvl w:val="3"/>
        <w:rPr>
          <w:rFonts w:hint="eastAsia" w:ascii="仿宋" w:hAnsi="仿宋" w:eastAsia="仿宋" w:cs="仿宋"/>
          <w:sz w:val="22"/>
          <w:szCs w:val="24"/>
        </w:rPr>
      </w:pPr>
      <w:bookmarkStart w:id="14" w:name="heading_14"/>
      <w:r>
        <w:rPr>
          <w:rFonts w:hint="eastAsia" w:ascii="仿宋" w:hAnsi="仿宋" w:eastAsia="仿宋" w:cs="仿宋"/>
          <w:b/>
          <w:sz w:val="32"/>
          <w:szCs w:val="24"/>
        </w:rPr>
        <w:t>子展区 1：模块一 何氏眼科集团介绍</w:t>
      </w:r>
      <w:bookmarkEnd w:id="14"/>
    </w:p>
    <w:p w14:paraId="399CF286">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展示内容</w:t>
      </w:r>
    </w:p>
    <w:p w14:paraId="55057257">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集团概况：辽宁何氏眼科医院集团整体架构、发展历程、三级眼健康医疗服务模式、连锁机构布局。</w:t>
      </w:r>
    </w:p>
    <w:p w14:paraId="66543291">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核心理念：“预防为主、防治结合” 服务理念，国际领先眼科医疗技术、专科诊疗、视光服务等核心业务。</w:t>
      </w:r>
    </w:p>
    <w:p w14:paraId="050F9C61">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企业荣誉、公益成果：防盲治盲公益行动、基层眼健康帮扶等科技惠民案例。</w:t>
      </w:r>
    </w:p>
    <w:p w14:paraId="05D42A03">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展陈形式：立体图文展板 + 壁挂触控屏，内嵌集团介绍视频、公益活动纪实、医疗技术解读。</w:t>
      </w:r>
    </w:p>
    <w:p w14:paraId="17564CA1">
      <w:pPr>
        <w:spacing w:before="260" w:after="120" w:line="288" w:lineRule="auto"/>
        <w:ind w:left="0"/>
        <w:jc w:val="left"/>
        <w:outlineLvl w:val="3"/>
        <w:rPr>
          <w:rFonts w:hint="eastAsia" w:ascii="仿宋" w:hAnsi="仿宋" w:eastAsia="仿宋" w:cs="仿宋"/>
          <w:sz w:val="22"/>
          <w:szCs w:val="24"/>
        </w:rPr>
      </w:pPr>
      <w:bookmarkStart w:id="15" w:name="heading_15"/>
      <w:r>
        <w:rPr>
          <w:rFonts w:hint="eastAsia" w:ascii="仿宋" w:hAnsi="仿宋" w:eastAsia="仿宋" w:cs="仿宋"/>
          <w:b/>
          <w:sz w:val="32"/>
          <w:szCs w:val="24"/>
        </w:rPr>
        <w:t>子展区 2：模块二 辽宁何氏医学院</w:t>
      </w:r>
      <w:bookmarkEnd w:id="15"/>
    </w:p>
    <w:p w14:paraId="5DA61E77">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展示内容</w:t>
      </w:r>
    </w:p>
    <w:p w14:paraId="63EB55C2">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办学初心：校训 “梦想、感恩、学问、坚毅、结果”、办学宗旨 “一切为了学生”。</w:t>
      </w:r>
    </w:p>
    <w:p w14:paraId="167C1E3C">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育人目标：培养具备理性思维、独立人格、创新精神、知行合一的民族复兴人才。</w:t>
      </w:r>
    </w:p>
    <w:p w14:paraId="35A96BF8">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医教融合成果：校企协同育人、实训基地、师生科研成果、人才输出情况。</w:t>
      </w:r>
    </w:p>
    <w:p w14:paraId="7CC182B5">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展陈形式：文化主题展墙、校园实景图文、荣誉陈列柜，搭配小型播放屏展示校园风貌与教学场景。</w:t>
      </w:r>
    </w:p>
    <w:p w14:paraId="08638E69">
      <w:pPr>
        <w:spacing w:before="300" w:after="120" w:line="288" w:lineRule="auto"/>
        <w:ind w:left="0"/>
        <w:jc w:val="left"/>
        <w:outlineLvl w:val="2"/>
        <w:rPr>
          <w:rFonts w:hint="eastAsia" w:ascii="仿宋" w:hAnsi="仿宋" w:eastAsia="仿宋" w:cs="仿宋"/>
          <w:sz w:val="22"/>
          <w:szCs w:val="24"/>
        </w:rPr>
      </w:pPr>
      <w:bookmarkStart w:id="16" w:name="heading_16"/>
      <w:r>
        <w:rPr>
          <w:rFonts w:hint="eastAsia" w:ascii="仿宋" w:hAnsi="仿宋" w:eastAsia="仿宋" w:cs="仿宋"/>
          <w:b/>
          <w:sz w:val="32"/>
          <w:szCs w:val="24"/>
        </w:rPr>
        <w:t>第三区域：产业集群展区（模块三、模块四）</w:t>
      </w:r>
      <w:bookmarkEnd w:id="16"/>
    </w:p>
    <w:p w14:paraId="36BA861F">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聚焦眼健康全产业链与特色产业载体，打造产业动态展示区，凸显产业化、集约化发展优势。</w:t>
      </w:r>
    </w:p>
    <w:p w14:paraId="3F1DB59C">
      <w:pPr>
        <w:spacing w:before="260" w:after="120" w:line="288" w:lineRule="auto"/>
        <w:ind w:left="0"/>
        <w:jc w:val="left"/>
        <w:outlineLvl w:val="3"/>
        <w:rPr>
          <w:rFonts w:hint="eastAsia" w:ascii="仿宋" w:hAnsi="仿宋" w:eastAsia="仿宋" w:cs="仿宋"/>
          <w:sz w:val="22"/>
          <w:szCs w:val="24"/>
        </w:rPr>
      </w:pPr>
      <w:bookmarkStart w:id="17" w:name="heading_17"/>
      <w:r>
        <w:rPr>
          <w:rFonts w:hint="eastAsia" w:ascii="仿宋" w:hAnsi="仿宋" w:eastAsia="仿宋" w:cs="仿宋"/>
          <w:b/>
          <w:sz w:val="32"/>
          <w:szCs w:val="24"/>
        </w:rPr>
        <w:t>子展区 1：模块三 何氏眼产业集团</w:t>
      </w:r>
      <w:bookmarkEnd w:id="17"/>
    </w:p>
    <w:p w14:paraId="711125AD">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展示内容</w:t>
      </w:r>
    </w:p>
    <w:p w14:paraId="70489353">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技术布局：围绕干细胞、基因、大数据、生物材料四大尖端技术的全产业布局。</w:t>
      </w:r>
    </w:p>
    <w:p w14:paraId="20209D82">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产业生态：从研发、孵化创新到产业化的完整眼产业发展体系。</w:t>
      </w:r>
    </w:p>
    <w:p w14:paraId="3C1F1214">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全球布局：亚洲、美洲、欧洲三大销售中心分布，全球市场覆盖网络。</w:t>
      </w:r>
    </w:p>
    <w:p w14:paraId="0C81CF69">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展陈形式：</w:t>
      </w:r>
      <w:r>
        <w:rPr>
          <w:rFonts w:hint="eastAsia" w:ascii="仿宋" w:hAnsi="仿宋" w:eastAsia="仿宋" w:cs="仿宋"/>
          <w:b/>
          <w:sz w:val="24"/>
          <w:szCs w:val="24"/>
        </w:rPr>
        <w:t>数字产业沙盘</w:t>
      </w:r>
      <w:r>
        <w:rPr>
          <w:rFonts w:hint="eastAsia" w:ascii="仿宋" w:hAnsi="仿宋" w:eastAsia="仿宋" w:cs="仿宋"/>
          <w:sz w:val="24"/>
          <w:szCs w:val="24"/>
        </w:rPr>
        <w:t>，触控切换国内、全球产业布局；长条图文展墙梳理产业链条、技术应用场景。</w:t>
      </w:r>
    </w:p>
    <w:p w14:paraId="49492937">
      <w:pPr>
        <w:spacing w:before="260" w:after="120" w:line="288" w:lineRule="auto"/>
        <w:ind w:left="0"/>
        <w:jc w:val="left"/>
        <w:outlineLvl w:val="3"/>
        <w:rPr>
          <w:rFonts w:hint="eastAsia" w:ascii="仿宋" w:hAnsi="仿宋" w:eastAsia="仿宋" w:cs="仿宋"/>
          <w:sz w:val="22"/>
          <w:szCs w:val="24"/>
        </w:rPr>
      </w:pPr>
      <w:bookmarkStart w:id="18" w:name="heading_18"/>
      <w:r>
        <w:rPr>
          <w:rFonts w:hint="eastAsia" w:ascii="仿宋" w:hAnsi="仿宋" w:eastAsia="仿宋" w:cs="仿宋"/>
          <w:b/>
          <w:sz w:val="32"/>
          <w:szCs w:val="24"/>
        </w:rPr>
        <w:t>子展区 2：模块四 光明小镇（眼产业特色小镇）</w:t>
      </w:r>
      <w:bookmarkEnd w:id="18"/>
    </w:p>
    <w:p w14:paraId="51884C86">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展示内容</w:t>
      </w:r>
    </w:p>
    <w:p w14:paraId="1D409C07">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小镇定位：世界唯一全链条、集约化、贯通式眼产业特色小镇，融合精准医疗、精准营养、生物医药、医疗器械、医养结合五大业态。</w:t>
      </w:r>
    </w:p>
    <w:p w14:paraId="1E25B96B">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区位价值：立足沈阳、辐射东北的生态、人文、科技小镇定位。</w:t>
      </w:r>
    </w:p>
    <w:p w14:paraId="28FBD9DD">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政策支撑：国家九部委《振兴东北科技成果转移转化专项行动实施方案》政策支持内容。</w:t>
      </w:r>
    </w:p>
    <w:p w14:paraId="4D77D777">
      <w:pPr>
        <w:numPr>
          <w:ilvl w:val="0"/>
          <w:numId w:val="0"/>
        </w:numPr>
        <w:spacing w:before="120" w:after="120" w:line="288" w:lineRule="auto"/>
        <w:jc w:val="left"/>
        <w:rPr>
          <w:rFonts w:hint="eastAsia" w:ascii="仿宋" w:hAnsi="仿宋" w:eastAsia="仿宋" w:cs="仿宋"/>
          <w:sz w:val="22"/>
          <w:szCs w:val="24"/>
          <w:lang w:eastAsia="zh-CN"/>
        </w:rPr>
      </w:pPr>
      <w:r>
        <w:rPr>
          <w:rFonts w:hint="eastAsia" w:ascii="仿宋" w:hAnsi="仿宋" w:eastAsia="仿宋" w:cs="仿宋"/>
          <w:sz w:val="24"/>
          <w:szCs w:val="24"/>
        </w:rPr>
        <w:t>展陈形式：</w:t>
      </w:r>
      <w:r>
        <w:rPr>
          <w:rFonts w:hint="eastAsia" w:ascii="仿宋" w:hAnsi="仿宋" w:eastAsia="仿宋" w:cs="仿宋"/>
          <w:sz w:val="24"/>
          <w:szCs w:val="24"/>
          <w:lang w:val="en-US" w:eastAsia="zh-CN"/>
        </w:rPr>
        <w:t>灯箱画面</w:t>
      </w:r>
    </w:p>
    <w:p w14:paraId="5D623178">
      <w:pPr>
        <w:spacing w:before="300" w:after="120" w:line="288" w:lineRule="auto"/>
        <w:ind w:left="0"/>
        <w:jc w:val="left"/>
        <w:outlineLvl w:val="2"/>
        <w:rPr>
          <w:rFonts w:hint="eastAsia" w:ascii="仿宋" w:hAnsi="仿宋" w:eastAsia="仿宋" w:cs="仿宋"/>
          <w:sz w:val="22"/>
          <w:szCs w:val="24"/>
        </w:rPr>
      </w:pPr>
      <w:bookmarkStart w:id="19" w:name="heading_19"/>
      <w:r>
        <w:rPr>
          <w:rFonts w:hint="eastAsia" w:ascii="仿宋" w:hAnsi="仿宋" w:eastAsia="仿宋" w:cs="仿宋"/>
          <w:b/>
          <w:sz w:val="32"/>
          <w:szCs w:val="24"/>
        </w:rPr>
        <w:t>第四区域：核心科研平台展区</w:t>
      </w:r>
      <w:bookmarkEnd w:id="19"/>
    </w:p>
    <w:p w14:paraId="60E9DC0D">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本区域为科研实力展示区，集中呈现八大前沿科研平台，风格偏向严谨科技风，图文 + 技术解读 + 样本 / 模型结合展示。</w:t>
      </w:r>
    </w:p>
    <w:p w14:paraId="0AC947B8">
      <w:pPr>
        <w:spacing w:before="260" w:after="120" w:line="288" w:lineRule="auto"/>
        <w:ind w:left="0"/>
        <w:jc w:val="left"/>
        <w:outlineLvl w:val="3"/>
        <w:rPr>
          <w:rFonts w:hint="eastAsia" w:ascii="仿宋" w:hAnsi="仿宋" w:eastAsia="仿宋" w:cs="仿宋"/>
          <w:sz w:val="22"/>
          <w:szCs w:val="24"/>
        </w:rPr>
      </w:pPr>
      <w:bookmarkStart w:id="20" w:name="heading_20"/>
      <w:r>
        <w:rPr>
          <w:rFonts w:hint="eastAsia" w:ascii="仿宋" w:hAnsi="仿宋" w:eastAsia="仿宋" w:cs="仿宋"/>
          <w:b/>
          <w:sz w:val="32"/>
          <w:szCs w:val="24"/>
        </w:rPr>
        <w:t>子展区 1：模块五 眼基因库</w:t>
      </w:r>
      <w:bookmarkEnd w:id="20"/>
    </w:p>
    <w:p w14:paraId="6E4E659B">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展示内容</w:t>
      </w:r>
    </w:p>
    <w:p w14:paraId="6D3CC40B">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平台资质：辽宁省眼科干细胞组织工程重点实验室、辽宁省眼科干细胞临床应用研究中心。</w:t>
      </w:r>
    </w:p>
    <w:p w14:paraId="3ECD4102">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核心能力：200 万份生物样本存储能力，世界领先眼病及慢病精准医疗遗传资源库。</w:t>
      </w:r>
    </w:p>
    <w:p w14:paraId="7E416DD9">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平台属性：公益性、开放性、支撑性、引领性四大核心定位。</w:t>
      </w:r>
    </w:p>
    <w:p w14:paraId="62AE05F5">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展陈形式：实验室实景图片、样本存储系统模型、技术原理图文展板，专业解读基因样本在眼病诊疗中的应用。</w:t>
      </w:r>
    </w:p>
    <w:p w14:paraId="55CF9779">
      <w:pPr>
        <w:spacing w:before="260" w:after="120" w:line="288" w:lineRule="auto"/>
        <w:ind w:left="0"/>
        <w:jc w:val="left"/>
        <w:outlineLvl w:val="3"/>
        <w:rPr>
          <w:rFonts w:hint="eastAsia" w:ascii="仿宋" w:hAnsi="仿宋" w:eastAsia="仿宋" w:cs="仿宋"/>
          <w:sz w:val="22"/>
          <w:szCs w:val="24"/>
        </w:rPr>
      </w:pPr>
      <w:bookmarkStart w:id="21" w:name="heading_21"/>
      <w:r>
        <w:rPr>
          <w:rFonts w:hint="eastAsia" w:ascii="仿宋" w:hAnsi="仿宋" w:eastAsia="仿宋" w:cs="仿宋"/>
          <w:b/>
          <w:sz w:val="32"/>
          <w:szCs w:val="24"/>
        </w:rPr>
        <w:t>子展区 2：模块六 合成生物创新平台</w:t>
      </w:r>
      <w:bookmarkEnd w:id="21"/>
    </w:p>
    <w:p w14:paraId="71A78724">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展示四大细分平台：植物干细胞规模化培养工程技术平台、珍稀濒危药用植物天然产物生物合成平台、种植资源保护平台、大健康产品研发平台，配套技术流程图与研发成果展示。</w:t>
      </w:r>
    </w:p>
    <w:p w14:paraId="2D18624A">
      <w:pPr>
        <w:spacing w:before="260" w:after="120" w:line="288" w:lineRule="auto"/>
        <w:ind w:left="0"/>
        <w:jc w:val="left"/>
        <w:outlineLvl w:val="3"/>
        <w:rPr>
          <w:rFonts w:hint="eastAsia" w:ascii="仿宋" w:hAnsi="仿宋" w:eastAsia="仿宋" w:cs="仿宋"/>
          <w:sz w:val="22"/>
          <w:szCs w:val="24"/>
        </w:rPr>
      </w:pPr>
      <w:bookmarkStart w:id="22" w:name="heading_22"/>
      <w:r>
        <w:rPr>
          <w:rFonts w:hint="eastAsia" w:ascii="仿宋" w:hAnsi="仿宋" w:eastAsia="仿宋" w:cs="仿宋"/>
          <w:b/>
          <w:sz w:val="32"/>
          <w:szCs w:val="24"/>
        </w:rPr>
        <w:t>子展区 3：模块七 眼科药物创新平台</w:t>
      </w:r>
      <w:bookmarkEnd w:id="22"/>
    </w:p>
    <w:p w14:paraId="34FDF18B">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展示眼科创新药物筛选平台、抗体药物技术中心、眼科制剂平台、国家 GCP 临床试验基地，陈列药物研发流程、临床试验成果、创新制剂样品（展示级）。</w:t>
      </w:r>
    </w:p>
    <w:p w14:paraId="5DADA550">
      <w:pPr>
        <w:spacing w:before="260" w:after="120" w:line="288" w:lineRule="auto"/>
        <w:ind w:left="0"/>
        <w:jc w:val="left"/>
        <w:outlineLvl w:val="3"/>
        <w:rPr>
          <w:rFonts w:hint="eastAsia" w:ascii="仿宋" w:hAnsi="仿宋" w:eastAsia="仿宋" w:cs="仿宋"/>
          <w:sz w:val="22"/>
          <w:szCs w:val="24"/>
        </w:rPr>
      </w:pPr>
      <w:bookmarkStart w:id="23" w:name="heading_23"/>
      <w:r>
        <w:rPr>
          <w:rFonts w:hint="eastAsia" w:ascii="仿宋" w:hAnsi="仿宋" w:eastAsia="仿宋" w:cs="仿宋"/>
          <w:b/>
          <w:sz w:val="32"/>
          <w:szCs w:val="24"/>
        </w:rPr>
        <w:t>子展区 4：模块八 人工智能数据中心</w:t>
      </w:r>
      <w:bookmarkEnd w:id="23"/>
    </w:p>
    <w:p w14:paraId="3EE85AE6">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展示内容：眼科临床数据库、数据标准体系、基因和表型数据库综合系统，数据统计、测序分析、智能运算等核心功能。</w:t>
      </w:r>
    </w:p>
    <w:p w14:paraId="0364B399">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展陈形式：动态数据可视化屏幕，实时模拟眼科数据采集、分析、应用全过程。</w:t>
      </w:r>
    </w:p>
    <w:p w14:paraId="0A3EAF93">
      <w:pPr>
        <w:spacing w:before="260" w:after="120" w:line="288" w:lineRule="auto"/>
        <w:ind w:left="0"/>
        <w:jc w:val="left"/>
        <w:outlineLvl w:val="3"/>
        <w:rPr>
          <w:rFonts w:hint="eastAsia" w:ascii="仿宋" w:hAnsi="仿宋" w:eastAsia="仿宋" w:cs="仿宋"/>
          <w:sz w:val="22"/>
          <w:szCs w:val="24"/>
        </w:rPr>
      </w:pPr>
      <w:bookmarkStart w:id="24" w:name="heading_24"/>
      <w:r>
        <w:rPr>
          <w:rFonts w:hint="eastAsia" w:ascii="仿宋" w:hAnsi="仿宋" w:eastAsia="仿宋" w:cs="仿宋"/>
          <w:b/>
          <w:sz w:val="32"/>
          <w:szCs w:val="24"/>
        </w:rPr>
        <w:t>子展区 5：模块十 生物材料创新平台</w:t>
      </w:r>
      <w:bookmarkEnd w:id="24"/>
    </w:p>
    <w:p w14:paraId="0C5E921D">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聚焦眼科专用生物材料研发、技术迭代、临床应用场景，以图文 + 材料样品（展示品）形式呈现技术优势与落地案例。</w:t>
      </w:r>
    </w:p>
    <w:p w14:paraId="70E3F506">
      <w:pPr>
        <w:spacing w:before="300" w:after="120" w:line="288" w:lineRule="auto"/>
        <w:ind w:left="0"/>
        <w:jc w:val="left"/>
        <w:outlineLvl w:val="2"/>
        <w:rPr>
          <w:rFonts w:hint="eastAsia" w:ascii="仿宋" w:hAnsi="仿宋" w:eastAsia="仿宋" w:cs="仿宋"/>
          <w:sz w:val="22"/>
          <w:szCs w:val="24"/>
        </w:rPr>
      </w:pPr>
      <w:bookmarkStart w:id="25" w:name="heading_25"/>
      <w:r>
        <w:rPr>
          <w:rFonts w:hint="eastAsia" w:ascii="仿宋" w:hAnsi="仿宋" w:eastAsia="仿宋" w:cs="仿宋"/>
          <w:b/>
          <w:sz w:val="32"/>
          <w:szCs w:val="24"/>
        </w:rPr>
        <w:t>第五区域：核心重点展区 —— 眼健康智慧医疗创新平台</w:t>
      </w:r>
      <w:bookmarkEnd w:id="25"/>
    </w:p>
    <w:p w14:paraId="1FC26613">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本展厅</w:t>
      </w:r>
      <w:r>
        <w:rPr>
          <w:rFonts w:hint="eastAsia" w:ascii="仿宋" w:hAnsi="仿宋" w:eastAsia="仿宋" w:cs="仿宋"/>
          <w:b/>
          <w:sz w:val="24"/>
          <w:szCs w:val="24"/>
        </w:rPr>
        <w:t>核心打造区域</w:t>
      </w:r>
      <w:r>
        <w:rPr>
          <w:rFonts w:hint="eastAsia" w:ascii="仿宋" w:hAnsi="仿宋" w:eastAsia="仿宋" w:cs="仿宋"/>
          <w:sz w:val="24"/>
          <w:szCs w:val="24"/>
        </w:rPr>
        <w:t>，总面积按既定尺寸规划，分为</w:t>
      </w:r>
      <w:r>
        <w:rPr>
          <w:rFonts w:hint="eastAsia" w:ascii="仿宋" w:hAnsi="仿宋" w:eastAsia="仿宋" w:cs="仿宋"/>
          <w:b/>
          <w:sz w:val="24"/>
          <w:szCs w:val="24"/>
        </w:rPr>
        <w:t>AI 智能眼健康检查区、何氏智慧爱眼小屋、眼健康智能设备体验区</w:t>
      </w:r>
      <w:r>
        <w:rPr>
          <w:rFonts w:hint="eastAsia" w:ascii="仿宋" w:hAnsi="仿宋" w:eastAsia="仿宋" w:cs="仿宋"/>
          <w:sz w:val="24"/>
          <w:szCs w:val="24"/>
        </w:rPr>
        <w:t>三大实景场景，主打智能化、未来感、互动体验，落地一站式数字化眼健康解决方案。</w:t>
      </w:r>
    </w:p>
    <w:p w14:paraId="656B6D95">
      <w:pPr>
        <w:spacing w:before="260" w:after="120" w:line="288" w:lineRule="auto"/>
        <w:ind w:left="0"/>
        <w:jc w:val="left"/>
        <w:outlineLvl w:val="3"/>
        <w:rPr>
          <w:rFonts w:hint="eastAsia" w:ascii="仿宋" w:hAnsi="仿宋" w:eastAsia="仿宋" w:cs="仿宋"/>
          <w:sz w:val="22"/>
          <w:szCs w:val="24"/>
        </w:rPr>
      </w:pPr>
      <w:bookmarkStart w:id="26" w:name="heading_26"/>
      <w:r>
        <w:rPr>
          <w:rFonts w:hint="eastAsia" w:ascii="仿宋" w:hAnsi="仿宋" w:eastAsia="仿宋" w:cs="仿宋"/>
          <w:b/>
          <w:sz w:val="32"/>
          <w:szCs w:val="24"/>
        </w:rPr>
        <w:t>（一）整体定位</w:t>
      </w:r>
      <w:bookmarkEnd w:id="26"/>
    </w:p>
    <w:p w14:paraId="0B3E7A24">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依托 eyerobo（爱络博）智能科技，展示智能眼健康全生命周期服务体系、AI 筛查体系、眼健康机器人、智能诊疗设备，覆盖眼部筛查、诊疗、验配、数字化近视防控、干眼诊疗等全品类产品体系，实现 “参观 + 体验 + 检测 + 科普” 一体化。</w:t>
      </w:r>
    </w:p>
    <w:p w14:paraId="004A6BAE">
      <w:pPr>
        <w:spacing w:before="260" w:after="120" w:line="288" w:lineRule="auto"/>
        <w:ind w:left="0"/>
        <w:jc w:val="left"/>
        <w:outlineLvl w:val="3"/>
        <w:rPr>
          <w:rFonts w:hint="eastAsia" w:ascii="仿宋" w:hAnsi="仿宋" w:eastAsia="仿宋" w:cs="仿宋"/>
          <w:sz w:val="22"/>
          <w:szCs w:val="24"/>
        </w:rPr>
      </w:pPr>
      <w:bookmarkStart w:id="27" w:name="heading_27"/>
      <w:r>
        <w:rPr>
          <w:rFonts w:hint="eastAsia" w:ascii="仿宋" w:hAnsi="仿宋" w:eastAsia="仿宋" w:cs="仿宋"/>
          <w:b/>
          <w:sz w:val="32"/>
          <w:szCs w:val="24"/>
        </w:rPr>
        <w:t>（二）分区细分建设</w:t>
      </w:r>
      <w:bookmarkEnd w:id="27"/>
    </w:p>
    <w:p w14:paraId="08CAB8D4">
      <w:pPr>
        <w:spacing w:before="240" w:after="120" w:line="288" w:lineRule="auto"/>
        <w:ind w:left="0"/>
        <w:jc w:val="left"/>
        <w:outlineLvl w:val="4"/>
        <w:rPr>
          <w:rFonts w:hint="eastAsia" w:ascii="仿宋" w:hAnsi="仿宋" w:eastAsia="仿宋" w:cs="仿宋"/>
          <w:sz w:val="22"/>
          <w:szCs w:val="24"/>
        </w:rPr>
      </w:pPr>
      <w:bookmarkStart w:id="28" w:name="heading_28"/>
      <w:r>
        <w:rPr>
          <w:rFonts w:hint="eastAsia" w:ascii="仿宋" w:hAnsi="仿宋" w:eastAsia="仿宋" w:cs="仿宋"/>
          <w:b/>
          <w:sz w:val="28"/>
          <w:szCs w:val="24"/>
        </w:rPr>
        <w:t>1. AI 智能眼健康检查区（尺寸：4.7m×2.6m）</w:t>
      </w:r>
      <w:bookmarkEnd w:id="28"/>
    </w:p>
    <w:p w14:paraId="1AD2DA05">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功能定位：实景化 AI 智能眼健康筛查体验区，面向访客提供免费简易眼健康检测，直观展示 AI 筛查技术优势。</w:t>
      </w:r>
    </w:p>
    <w:p w14:paraId="50229BEB">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设备配置：AI 智能眼健康筛查设备、智能显示终端、结果打印终端。</w:t>
      </w:r>
    </w:p>
    <w:p w14:paraId="4FE998B8">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展示内容</w:t>
      </w:r>
    </w:p>
    <w:p w14:paraId="32A5B415">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AI 筛查体系技术原理、检测项目、准确率、应用场景（校园筛查、社区义诊、基层医疗）。</w:t>
      </w:r>
    </w:p>
    <w:p w14:paraId="33A1886C">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检测流程可视化引导牌，图文讲解 AI 技术在眼病早筛、近视预警中的作用。</w:t>
      </w:r>
    </w:p>
    <w:p w14:paraId="35D00A2C">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场景设计：科技简约诊疗空间，分区设置等候位、检测位、结果解读位，墙面标注 “医疗、教育、产业、科研” 四大融合标语。</w:t>
      </w:r>
    </w:p>
    <w:p w14:paraId="47D1EC0B">
      <w:pPr>
        <w:spacing w:before="240" w:after="120" w:line="288" w:lineRule="auto"/>
        <w:ind w:left="0"/>
        <w:jc w:val="left"/>
        <w:outlineLvl w:val="4"/>
        <w:rPr>
          <w:rFonts w:hint="eastAsia" w:ascii="仿宋" w:hAnsi="仿宋" w:eastAsia="仿宋" w:cs="仿宋"/>
          <w:sz w:val="22"/>
          <w:szCs w:val="24"/>
        </w:rPr>
      </w:pPr>
      <w:bookmarkStart w:id="29" w:name="heading_29"/>
      <w:r>
        <w:rPr>
          <w:rFonts w:hint="eastAsia" w:ascii="仿宋" w:hAnsi="仿宋" w:eastAsia="仿宋" w:cs="仿宋"/>
          <w:b/>
          <w:sz w:val="28"/>
          <w:szCs w:val="24"/>
        </w:rPr>
        <w:t>2. 何氏智慧爱眼小屋（尺寸：3.6m×3.8m）</w:t>
      </w:r>
      <w:bookmarkEnd w:id="29"/>
    </w:p>
    <w:p w14:paraId="79685A91">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功能定位：</w:t>
      </w:r>
      <w:r>
        <w:rPr>
          <w:rFonts w:hint="eastAsia" w:ascii="仿宋" w:hAnsi="仿宋" w:eastAsia="仿宋" w:cs="仿宋"/>
          <w:b/>
          <w:sz w:val="24"/>
          <w:szCs w:val="24"/>
        </w:rPr>
        <w:t>一站式数字化眼健康解决方案实景展示区</w:t>
      </w:r>
      <w:r>
        <w:rPr>
          <w:rFonts w:hint="eastAsia" w:ascii="仿宋" w:hAnsi="仿宋" w:eastAsia="仿宋" w:cs="仿宋"/>
          <w:sz w:val="24"/>
          <w:szCs w:val="24"/>
        </w:rPr>
        <w:t>，主打数字化近视防控、全周期眼健康管理。</w:t>
      </w:r>
    </w:p>
    <w:p w14:paraId="0D5A2CF0">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核心展示</w:t>
      </w:r>
    </w:p>
    <w:p w14:paraId="3005B844">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全流程服务：从基础筛查、视力检测、专业验配、近视干预到干眼养护的闭环服务体系。</w:t>
      </w:r>
    </w:p>
    <w:p w14:paraId="2493AD72">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数字化近视防控体系：智能监测设备、视力档案数字化管理、个性化防控方案系统。</w:t>
      </w:r>
    </w:p>
    <w:p w14:paraId="4F6E5856">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品牌展示：eyerobo 爱络博智能科技、昭晰等旗下品牌产品与服务体系。</w:t>
      </w:r>
    </w:p>
    <w:p w14:paraId="2C37633D">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场景设计：模拟线下标准 “智慧爱眼小屋” 实景，复刻落地门店布局，配备全套智能视光设备，访客可近距离观摩、体验设备操作。</w:t>
      </w:r>
    </w:p>
    <w:p w14:paraId="00A6E687">
      <w:pPr>
        <w:spacing w:before="240" w:after="120" w:line="288" w:lineRule="auto"/>
        <w:ind w:left="0"/>
        <w:jc w:val="left"/>
        <w:outlineLvl w:val="4"/>
        <w:rPr>
          <w:rFonts w:hint="eastAsia" w:ascii="仿宋" w:hAnsi="仿宋" w:eastAsia="仿宋" w:cs="仿宋"/>
          <w:sz w:val="22"/>
          <w:szCs w:val="24"/>
        </w:rPr>
      </w:pPr>
      <w:bookmarkStart w:id="30" w:name="heading_30"/>
      <w:r>
        <w:rPr>
          <w:rFonts w:hint="eastAsia" w:ascii="仿宋" w:hAnsi="仿宋" w:eastAsia="仿宋" w:cs="仿宋"/>
          <w:b/>
          <w:sz w:val="28"/>
          <w:szCs w:val="24"/>
        </w:rPr>
        <w:t>3. 眼健康智能设备 &amp; 机器人体验区</w:t>
      </w:r>
      <w:bookmarkEnd w:id="30"/>
    </w:p>
    <w:p w14:paraId="411AE923">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展示内容：眼健康机器人、智能验光设备、干眼诊疗设备、全生命周期眼健康管理系统等核心产品。</w:t>
      </w:r>
    </w:p>
    <w:p w14:paraId="41066443">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互动形式：设置触控演示屏、设备动态演示模式，支持访客观看设备运作流程、模拟操作，搭配语音解说讲解设备技术亮点与临床应用。</w:t>
      </w:r>
    </w:p>
    <w:p w14:paraId="20A3874A">
      <w:pPr>
        <w:spacing w:before="260" w:after="120" w:line="288" w:lineRule="auto"/>
        <w:ind w:left="0"/>
        <w:jc w:val="left"/>
        <w:outlineLvl w:val="3"/>
        <w:rPr>
          <w:rFonts w:hint="eastAsia" w:ascii="仿宋" w:hAnsi="仿宋" w:eastAsia="仿宋" w:cs="仿宋"/>
          <w:sz w:val="22"/>
          <w:szCs w:val="24"/>
        </w:rPr>
      </w:pPr>
      <w:bookmarkStart w:id="31" w:name="heading_31"/>
      <w:r>
        <w:rPr>
          <w:rFonts w:hint="eastAsia" w:ascii="仿宋" w:hAnsi="仿宋" w:eastAsia="仿宋" w:cs="仿宋"/>
          <w:b/>
          <w:sz w:val="32"/>
          <w:szCs w:val="24"/>
        </w:rPr>
        <w:t>（三）氛围设计</w:t>
      </w:r>
      <w:bookmarkEnd w:id="31"/>
    </w:p>
    <w:p w14:paraId="687C7794">
      <w:pPr>
        <w:spacing w:before="120" w:after="120" w:line="288" w:lineRule="auto"/>
        <w:ind w:left="0"/>
        <w:jc w:val="left"/>
        <w:rPr>
          <w:rFonts w:hint="eastAsia" w:ascii="仿宋" w:hAnsi="仿宋" w:eastAsia="仿宋" w:cs="仿宋"/>
          <w:sz w:val="22"/>
          <w:szCs w:val="24"/>
        </w:rPr>
      </w:pPr>
      <w:r>
        <w:rPr>
          <w:rFonts w:hint="eastAsia" w:ascii="仿宋" w:hAnsi="仿宋" w:eastAsia="仿宋" w:cs="仿宋"/>
          <w:sz w:val="24"/>
          <w:szCs w:val="24"/>
        </w:rPr>
        <w:t>全域采用科技光影设计，冷暖灯光结合，设备区域采用聚焦射灯，通道采用漫射灯带；墙面使用科技肌理板材，张贴产品体系图谱、服务流程图，强化未来科技感。</w:t>
      </w:r>
    </w:p>
    <w:p w14:paraId="66F6180D">
      <w:pPr>
        <w:spacing w:before="320" w:after="120" w:line="288" w:lineRule="auto"/>
        <w:ind w:left="0"/>
        <w:jc w:val="left"/>
        <w:outlineLvl w:val="1"/>
        <w:rPr>
          <w:rFonts w:hint="eastAsia" w:ascii="仿宋" w:hAnsi="仿宋" w:eastAsia="仿宋" w:cs="仿宋"/>
          <w:sz w:val="22"/>
          <w:szCs w:val="24"/>
        </w:rPr>
      </w:pPr>
      <w:bookmarkStart w:id="32" w:name="heading_36"/>
      <w:r>
        <w:rPr>
          <w:rFonts w:hint="eastAsia" w:ascii="仿宋" w:hAnsi="仿宋" w:eastAsia="仿宋" w:cs="仿宋"/>
          <w:b/>
          <w:sz w:val="36"/>
          <w:szCs w:val="24"/>
        </w:rPr>
        <w:t>四、视觉、灯光与多媒体系统建设</w:t>
      </w:r>
      <w:bookmarkEnd w:id="32"/>
    </w:p>
    <w:p w14:paraId="3C5EBE9C">
      <w:pPr>
        <w:spacing w:before="300" w:after="120" w:line="288" w:lineRule="auto"/>
        <w:ind w:left="0"/>
        <w:jc w:val="left"/>
        <w:outlineLvl w:val="2"/>
        <w:rPr>
          <w:rFonts w:hint="eastAsia" w:ascii="仿宋" w:hAnsi="仿宋" w:eastAsia="仿宋" w:cs="仿宋"/>
          <w:sz w:val="22"/>
          <w:szCs w:val="24"/>
        </w:rPr>
      </w:pPr>
      <w:bookmarkStart w:id="33" w:name="heading_37"/>
      <w:r>
        <w:rPr>
          <w:rFonts w:hint="eastAsia" w:ascii="仿宋" w:hAnsi="仿宋" w:eastAsia="仿宋" w:cs="仿宋"/>
          <w:b/>
          <w:sz w:val="32"/>
          <w:szCs w:val="24"/>
        </w:rPr>
        <w:t>（一）视觉 VI 体系</w:t>
      </w:r>
      <w:bookmarkEnd w:id="33"/>
    </w:p>
    <w:p w14:paraId="73658845">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主色调：企业品牌色 + 科技蓝 + 纯白色，科研区加深灰色调，体验区增加浅蓝点缀，风格统一且分区差异化。</w:t>
      </w:r>
    </w:p>
    <w:p w14:paraId="3C4F74AA">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视觉元素：全域融入何氏 LOGO、eyerobo 标识、眼基因库符号、眼健康科技元素，展板、立牌、地贴、导视系统统一版式。</w:t>
      </w:r>
    </w:p>
    <w:p w14:paraId="44443999">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材质选择：主体墙面采用环保防火板材，形象墙、展示边框使用拉丝金属材质，展柜采用钢化玻璃，兼顾质感、安全与耐用性。</w:t>
      </w:r>
    </w:p>
    <w:p w14:paraId="2D1EB1CB">
      <w:pPr>
        <w:spacing w:before="300" w:after="120" w:line="288" w:lineRule="auto"/>
        <w:ind w:left="0"/>
        <w:jc w:val="left"/>
        <w:outlineLvl w:val="2"/>
        <w:rPr>
          <w:rFonts w:hint="eastAsia" w:ascii="仿宋" w:hAnsi="仿宋" w:eastAsia="仿宋" w:cs="仿宋"/>
          <w:sz w:val="22"/>
          <w:szCs w:val="24"/>
        </w:rPr>
      </w:pPr>
      <w:bookmarkStart w:id="34" w:name="heading_38"/>
      <w:r>
        <w:rPr>
          <w:rFonts w:hint="eastAsia" w:ascii="仿宋" w:hAnsi="仿宋" w:eastAsia="仿宋" w:cs="仿宋"/>
          <w:b/>
          <w:sz w:val="32"/>
          <w:szCs w:val="24"/>
        </w:rPr>
        <w:t>（二）灯光系统</w:t>
      </w:r>
      <w:bookmarkEnd w:id="34"/>
    </w:p>
    <w:p w14:paraId="6F186632">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基础照明：全域 6000K 正白光 LED 平板灯，保证光线柔和，适配医疗、展厅双重场景，避免视觉疲劳。</w:t>
      </w:r>
    </w:p>
    <w:p w14:paraId="5748B485">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分区氛围灯：文化区暖调灯带，科研区冷调线性灯，智能体验区动态光影灯，随参观动线切换灯光氛围。</w:t>
      </w:r>
    </w:p>
    <w:p w14:paraId="35FCDB5E">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sz w:val="24"/>
          <w:szCs w:val="24"/>
        </w:rPr>
        <w:t>重点照明：展品、设备、沙盘、LOGO 墙采用定向射灯，突出展示重点。</w:t>
      </w:r>
    </w:p>
    <w:p w14:paraId="783B8A53">
      <w:pPr>
        <w:spacing w:before="320" w:after="120" w:line="288" w:lineRule="auto"/>
        <w:ind w:left="0"/>
        <w:jc w:val="left"/>
        <w:outlineLvl w:val="1"/>
        <w:rPr>
          <w:rFonts w:hint="eastAsia" w:ascii="仿宋" w:hAnsi="仿宋" w:eastAsia="仿宋" w:cs="仿宋"/>
          <w:sz w:val="22"/>
          <w:szCs w:val="24"/>
        </w:rPr>
      </w:pPr>
      <w:bookmarkStart w:id="35" w:name="heading_49"/>
      <w:r>
        <w:rPr>
          <w:rFonts w:hint="eastAsia" w:ascii="仿宋" w:hAnsi="仿宋" w:eastAsia="仿宋" w:cs="仿宋"/>
          <w:b/>
          <w:sz w:val="36"/>
          <w:szCs w:val="24"/>
          <w:lang w:val="en-US" w:eastAsia="zh-CN"/>
        </w:rPr>
        <w:t>五</w:t>
      </w:r>
      <w:r>
        <w:rPr>
          <w:rFonts w:hint="eastAsia" w:ascii="仿宋" w:hAnsi="仿宋" w:eastAsia="仿宋" w:cs="仿宋"/>
          <w:b/>
          <w:sz w:val="36"/>
          <w:szCs w:val="24"/>
        </w:rPr>
        <w:t>、项目目标与预期效果</w:t>
      </w:r>
      <w:bookmarkEnd w:id="35"/>
    </w:p>
    <w:p w14:paraId="7E50425C">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b/>
          <w:sz w:val="24"/>
          <w:szCs w:val="24"/>
        </w:rPr>
        <w:t>文化传播目标</w:t>
      </w:r>
      <w:r>
        <w:rPr>
          <w:rFonts w:hint="eastAsia" w:ascii="仿宋" w:hAnsi="仿宋" w:eastAsia="仿宋" w:cs="仿宋"/>
          <w:sz w:val="24"/>
          <w:szCs w:val="24"/>
        </w:rPr>
        <w:t>：完整传递何氏眼科 “医教研产” 一体化企业文化、办学理念与企业使命，强化品牌形象与文化认同感。</w:t>
      </w:r>
    </w:p>
    <w:p w14:paraId="3E9483AD">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b/>
          <w:sz w:val="24"/>
          <w:szCs w:val="24"/>
        </w:rPr>
        <w:t>成果展示目标</w:t>
      </w:r>
      <w:r>
        <w:rPr>
          <w:rFonts w:hint="eastAsia" w:ascii="仿宋" w:hAnsi="仿宋" w:eastAsia="仿宋" w:cs="仿宋"/>
          <w:sz w:val="24"/>
          <w:szCs w:val="24"/>
        </w:rPr>
        <w:t>：全方位展现十大科研创新平台、全眼健康产业链、全球化布局实力，树立行业科技标杆形象。</w:t>
      </w:r>
    </w:p>
    <w:p w14:paraId="1E058934">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b/>
          <w:sz w:val="24"/>
          <w:szCs w:val="24"/>
        </w:rPr>
        <w:t>体验服务目标</w:t>
      </w:r>
      <w:r>
        <w:rPr>
          <w:rFonts w:hint="eastAsia" w:ascii="仿宋" w:hAnsi="仿宋" w:eastAsia="仿宋" w:cs="仿宋"/>
          <w:sz w:val="24"/>
          <w:szCs w:val="24"/>
        </w:rPr>
        <w:t>：以 AI 智能眼健康、智慧爱眼小屋为核心，打造沉浸式科技体验场景，实现眼健康科普、便民服务落地。</w:t>
      </w:r>
    </w:p>
    <w:p w14:paraId="3E7178F7">
      <w:pPr>
        <w:numPr>
          <w:ilvl w:val="0"/>
          <w:numId w:val="0"/>
        </w:numPr>
        <w:spacing w:before="120" w:after="120" w:line="288" w:lineRule="auto"/>
        <w:jc w:val="left"/>
        <w:rPr>
          <w:rFonts w:hint="eastAsia" w:ascii="仿宋" w:hAnsi="仿宋" w:eastAsia="仿宋" w:cs="仿宋"/>
          <w:sz w:val="22"/>
          <w:szCs w:val="24"/>
        </w:rPr>
      </w:pPr>
      <w:r>
        <w:rPr>
          <w:rFonts w:hint="eastAsia" w:ascii="仿宋" w:hAnsi="仿宋" w:eastAsia="仿宋" w:cs="仿宋"/>
          <w:b/>
          <w:sz w:val="24"/>
          <w:szCs w:val="24"/>
        </w:rPr>
        <w:t>综合价值目标</w:t>
      </w:r>
      <w:r>
        <w:rPr>
          <w:rFonts w:hint="eastAsia" w:ascii="仿宋" w:hAnsi="仿宋" w:eastAsia="仿宋" w:cs="仿宋"/>
          <w:sz w:val="24"/>
          <w:szCs w:val="24"/>
        </w:rPr>
        <w:t>：打造集文化、产业、科研、体验、交流于一体的综合性展厅，承接参观、研学、商务、学术活动，助力企业品牌传播与产业发展，深度诠释</w:t>
      </w:r>
      <w:r>
        <w:rPr>
          <w:rFonts w:hint="eastAsia" w:ascii="仿宋" w:hAnsi="仿宋" w:eastAsia="仿宋" w:cs="仿宋"/>
          <w:b/>
          <w:sz w:val="24"/>
          <w:szCs w:val="24"/>
        </w:rPr>
        <w:t>何氏智慧光明城</w:t>
      </w:r>
      <w:r>
        <w:rPr>
          <w:rFonts w:hint="eastAsia" w:ascii="仿宋" w:hAnsi="仿宋" w:eastAsia="仿宋" w:cs="仿宋"/>
          <w:sz w:val="24"/>
          <w:szCs w:val="24"/>
        </w:rPr>
        <w:t>全周期眼健康智慧服务生态网络价值。</w:t>
      </w:r>
    </w:p>
    <w:p w14:paraId="5CB8DDEA">
      <w:pPr>
        <w:pBdr>
          <w:bottom w:val="single" w:color="DEE0E3" w:sz="2" w:space="0"/>
          <w:between w:val="single" w:color="DEE0E3" w:sz="2" w:space="0"/>
        </w:pBdr>
        <w:spacing w:before="120" w:after="120" w:line="288" w:lineRule="auto"/>
        <w:ind w:left="0"/>
        <w:rPr>
          <w:rFonts w:hint="eastAsia" w:ascii="仿宋" w:hAnsi="仿宋" w:eastAsia="仿宋" w:cs="仿宋"/>
          <w:sz w:val="22"/>
          <w:szCs w:val="24"/>
        </w:rPr>
      </w:pPr>
    </w:p>
    <w:p w14:paraId="28994F5B">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297BA3E2">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B72347C">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2F93962D">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49F0BD4">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45E36BA6">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66390726">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6E67CEEA">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069A0403">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69C67C94">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BC5A786">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1A0AAA3C">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093B552">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1EF72DA">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447FD805">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0844AED">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416FFBC1">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1DEC21C2">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4DBE175E">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6F36EBFC">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771F6C1F">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63AB52F5">
      <w:pPr>
        <w:spacing w:line="360" w:lineRule="auto"/>
        <w:jc w:val="left"/>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附件2</w:t>
      </w:r>
    </w:p>
    <w:p w14:paraId="05EE04BE">
      <w:pPr>
        <w:spacing w:line="360" w:lineRule="auto"/>
        <w:jc w:val="center"/>
        <w:rPr>
          <w:rFonts w:hint="eastAsia" w:eastAsiaTheme="minorEastAsia"/>
          <w:b/>
          <w:bCs/>
          <w:sz w:val="28"/>
          <w:szCs w:val="36"/>
          <w:lang w:val="en-US" w:eastAsia="zh-CN"/>
        </w:rPr>
      </w:pPr>
      <w:r>
        <w:rPr>
          <w:rFonts w:hint="eastAsia"/>
          <w:b/>
          <w:bCs/>
          <w:sz w:val="28"/>
          <w:szCs w:val="36"/>
        </w:rPr>
        <w:t>儿童近视友好型全屋空间设计方案</w:t>
      </w:r>
      <w:r>
        <w:rPr>
          <w:rFonts w:hint="eastAsia"/>
          <w:b/>
          <w:bCs/>
          <w:sz w:val="28"/>
          <w:szCs w:val="36"/>
          <w:lang w:val="en-US" w:eastAsia="zh-CN"/>
        </w:rPr>
        <w:t xml:space="preserve"> </w:t>
      </w:r>
    </w:p>
    <w:p w14:paraId="7BF9D66D">
      <w:pPr>
        <w:spacing w:line="360" w:lineRule="auto"/>
        <w:rPr>
          <w:rFonts w:hint="eastAsia"/>
        </w:rPr>
      </w:pPr>
      <w:r>
        <w:rPr>
          <w:rFonts w:hint="eastAsia"/>
        </w:rPr>
        <w:t>一、整体基础定位 &amp; 设计原则</w:t>
      </w:r>
    </w:p>
    <w:p w14:paraId="11BECB44">
      <w:pPr>
        <w:spacing w:line="360" w:lineRule="auto"/>
        <w:ind w:firstLine="420" w:firstLineChars="200"/>
        <w:rPr>
          <w:rFonts w:hint="eastAsia"/>
        </w:rPr>
      </w:pPr>
      <w:r>
        <w:rPr>
          <w:rFonts w:hint="eastAsia"/>
          <w:color w:val="FF0000"/>
          <w:lang w:val="en-US" w:eastAsia="zh-CN"/>
        </w:rPr>
        <w:t>整体风格高科技感、温馨舒适。</w:t>
      </w:r>
      <w:r>
        <w:rPr>
          <w:rFonts w:hint="eastAsia"/>
        </w:rPr>
        <w:t>遵循眼视光 + 健康管理 + 产业适配 + 室内设计四维标准，打造儿童卧室 + 窗边休闲核心双场景，覆盖预防 - 监测 - 干预全护眼闭环；适配 3-12 岁儿童视觉发育，符合 93 nW/cm²/sr 夜间光阈值、RG0 低蓝光、墙面 cpd 空间频率、6 米远眺等全部专业指标。全屋硬装、软装、家具、灯光、设备统一遵循低反光、无眩光、弱刺激、视觉舒缓、安全防护核心原则，适配儿童视力保护与身心成长需求。</w:t>
      </w:r>
    </w:p>
    <w:p w14:paraId="5D0DD6F8">
      <w:pPr>
        <w:spacing w:line="360" w:lineRule="auto"/>
        <w:rPr>
          <w:rFonts w:hint="eastAsia"/>
        </w:rPr>
      </w:pPr>
      <w:r>
        <w:rPr>
          <w:rFonts w:hint="eastAsia"/>
        </w:rPr>
        <w:t>二、全屋硬装：墙面墙纸专项设计</w:t>
      </w:r>
    </w:p>
    <w:p w14:paraId="478DC704">
      <w:pPr>
        <w:spacing w:line="360" w:lineRule="auto"/>
        <w:rPr>
          <w:rFonts w:hint="eastAsia"/>
        </w:rPr>
      </w:pPr>
      <w:r>
        <w:rPr>
          <w:rFonts w:hint="eastAsia"/>
        </w:rPr>
        <w:t>1. 墙纸选材标准</w:t>
      </w:r>
    </w:p>
    <w:p w14:paraId="034CC8E9">
      <w:pPr>
        <w:spacing w:line="360" w:lineRule="auto"/>
        <w:rPr>
          <w:rFonts w:hint="eastAsia"/>
        </w:rPr>
      </w:pPr>
      <w:r>
        <w:rPr>
          <w:rFonts w:hint="eastAsia"/>
        </w:rPr>
        <w:t>材质：环保无甲醛可更换墙贴，哑光不反光，表面柔和肌理；</w:t>
      </w:r>
    </w:p>
    <w:p w14:paraId="70A39942">
      <w:pPr>
        <w:spacing w:line="360" w:lineRule="auto"/>
        <w:rPr>
          <w:rFonts w:hint="eastAsia"/>
        </w:rPr>
      </w:pPr>
      <w:r>
        <w:rPr>
          <w:rFonts w:hint="eastAsia"/>
        </w:rPr>
        <w:t>反射率：控制在30%-50%，孟塞尔色卡 5-6 级低饱和莫兰迪色系；</w:t>
      </w:r>
    </w:p>
    <w:p w14:paraId="1F28E5C3">
      <w:pPr>
        <w:spacing w:line="360" w:lineRule="auto"/>
        <w:rPr>
          <w:rFonts w:hint="eastAsia"/>
        </w:rPr>
      </w:pPr>
      <w:r>
        <w:rPr>
          <w:rFonts w:hint="eastAsia"/>
        </w:rPr>
        <w:t>空间频率分段匹配年龄：</w:t>
      </w:r>
    </w:p>
    <w:p w14:paraId="0685CE4F">
      <w:pPr>
        <w:spacing w:line="360" w:lineRule="auto"/>
        <w:rPr>
          <w:rFonts w:hint="eastAsia"/>
        </w:rPr>
      </w:pPr>
      <w:r>
        <w:rPr>
          <w:rFonts w:hint="eastAsia"/>
        </w:rPr>
        <w:t>3-6 cpd 柔和云纹、树叶肌理墙纸；</w:t>
      </w:r>
    </w:p>
    <w:p w14:paraId="6CE2DB8D">
      <w:pPr>
        <w:spacing w:line="360" w:lineRule="auto"/>
        <w:rPr>
          <w:rFonts w:hint="eastAsia"/>
        </w:rPr>
      </w:pPr>
      <w:r>
        <w:rPr>
          <w:rFonts w:hint="eastAsia"/>
        </w:rPr>
        <w:t>6-12 cpd 细格、波浪细纹肌理墙纸；</w:t>
      </w:r>
    </w:p>
    <w:p w14:paraId="512DD5FE">
      <w:pPr>
        <w:spacing w:line="360" w:lineRule="auto"/>
        <w:rPr>
          <w:rFonts w:hint="eastAsia"/>
        </w:rPr>
      </w:pPr>
      <w:r>
        <w:rPr>
          <w:rFonts w:hint="eastAsia"/>
        </w:rPr>
        <w:t>工艺：全屋转角圆弧收口，避免儿童磕碰；无纯白纯色墙面，杜绝强光反光视疲劳。</w:t>
      </w:r>
    </w:p>
    <w:p w14:paraId="1A4B6D2A">
      <w:pPr>
        <w:spacing w:line="360" w:lineRule="auto"/>
        <w:rPr>
          <w:rFonts w:hint="eastAsia"/>
        </w:rPr>
      </w:pPr>
      <w:r>
        <w:rPr>
          <w:rFonts w:hint="eastAsia"/>
        </w:rPr>
        <w:t>2. 墙面功能配置</w:t>
      </w:r>
    </w:p>
    <w:p w14:paraId="4881E574">
      <w:pPr>
        <w:spacing w:line="360" w:lineRule="auto"/>
        <w:rPr>
          <w:rFonts w:hint="eastAsia"/>
        </w:rPr>
      </w:pPr>
      <w:r>
        <w:rPr>
          <w:rFonts w:hint="eastAsia"/>
        </w:rPr>
        <w:t>预留标准对数低反光视力表嵌入区，配合爱络博视力筛查仪自测使用；</w:t>
      </w:r>
    </w:p>
    <w:p w14:paraId="713F78BA">
      <w:pPr>
        <w:spacing w:line="360" w:lineRule="auto"/>
        <w:rPr>
          <w:rFonts w:hint="eastAsia"/>
        </w:rPr>
      </w:pPr>
      <w:r>
        <w:rPr>
          <w:rFonts w:hint="eastAsia"/>
        </w:rPr>
        <w:t>定制爱络博眼健康科普海报、产品功能海报，统一视觉风格上墙；</w:t>
      </w:r>
    </w:p>
    <w:p w14:paraId="1C87F2C6">
      <w:pPr>
        <w:spacing w:line="360" w:lineRule="auto"/>
        <w:rPr>
          <w:rFonts w:hint="eastAsia"/>
        </w:rPr>
      </w:pPr>
      <w:r>
        <w:rPr>
          <w:rFonts w:hint="eastAsia"/>
        </w:rPr>
        <w:t>张贴 20-20-20 护眼法则、绿植观察、视觉训练步骤提示墙贴；</w:t>
      </w:r>
    </w:p>
    <w:p w14:paraId="36A931EA">
      <w:pPr>
        <w:spacing w:line="360" w:lineRule="auto"/>
        <w:rPr>
          <w:rFonts w:hint="eastAsia"/>
        </w:rPr>
      </w:pPr>
      <w:r>
        <w:rPr>
          <w:rFonts w:hint="eastAsia"/>
        </w:rPr>
        <w:t>扫码数据上传入口上墙，自测数据自动同步眼健康档案。</w:t>
      </w:r>
    </w:p>
    <w:p w14:paraId="1DEC3CF1">
      <w:pPr>
        <w:spacing w:line="360" w:lineRule="auto"/>
        <w:rPr>
          <w:rFonts w:hint="eastAsia"/>
        </w:rPr>
      </w:pPr>
      <w:r>
        <w:rPr>
          <w:rFonts w:hint="eastAsia"/>
        </w:rPr>
        <w:t>三、窗边视觉绿植区（完整按三级梯度布局）</w:t>
      </w:r>
    </w:p>
    <w:p w14:paraId="2E6159F4">
      <w:pPr>
        <w:spacing w:line="360" w:lineRule="auto"/>
        <w:rPr>
          <w:rFonts w:hint="eastAsia"/>
        </w:rPr>
      </w:pPr>
      <w:r>
        <w:rPr>
          <w:rFonts w:hint="eastAsia"/>
        </w:rPr>
        <w:t>1. 绿植品种要求</w:t>
      </w:r>
    </w:p>
    <w:p w14:paraId="50B938A2">
      <w:pPr>
        <w:spacing w:line="360" w:lineRule="auto"/>
        <w:ind w:firstLine="420" w:firstLineChars="200"/>
        <w:rPr>
          <w:rFonts w:hint="eastAsia"/>
        </w:rPr>
      </w:pPr>
      <w:r>
        <w:rPr>
          <w:rFonts w:hint="eastAsia"/>
        </w:rPr>
        <w:t>全部选用耐阴、低矮、细密、无刺、无致敏花粉品种：蕨类、多肉、匍匐类绿植，不摆放高大乔木。</w:t>
      </w:r>
    </w:p>
    <w:p w14:paraId="7CD7399B">
      <w:pPr>
        <w:spacing w:line="360" w:lineRule="auto"/>
        <w:rPr>
          <w:rFonts w:hint="eastAsia" w:eastAsiaTheme="minorEastAsia"/>
          <w:lang w:eastAsia="zh-CN"/>
        </w:rPr>
      </w:pPr>
      <w:r>
        <w:rPr>
          <w:rFonts w:hint="eastAsia"/>
        </w:rPr>
        <w:t>2. 三级梯度布局</w:t>
      </w:r>
      <w:r>
        <w:rPr>
          <w:rFonts w:hint="eastAsia"/>
          <w:lang w:val="en-US" w:eastAsia="zh-CN"/>
        </w:rPr>
        <w:t xml:space="preserve"> </w:t>
      </w:r>
    </w:p>
    <w:p w14:paraId="7DB4963B">
      <w:pPr>
        <w:spacing w:line="360" w:lineRule="auto"/>
        <w:rPr>
          <w:rFonts w:hint="eastAsia"/>
        </w:rPr>
      </w:pPr>
      <w:r>
        <w:rPr>
          <w:rFonts w:hint="eastAsia"/>
        </w:rPr>
        <w:t>窗边 0.5m 内：10-15cm 矮蕨类、小型多肉，做近距视觉调节刺激；</w:t>
      </w:r>
    </w:p>
    <w:p w14:paraId="06108AB6">
      <w:pPr>
        <w:spacing w:line="360" w:lineRule="auto"/>
        <w:rPr>
          <w:rFonts w:hint="eastAsia"/>
        </w:rPr>
      </w:pPr>
      <w:r>
        <w:rPr>
          <w:rFonts w:hint="eastAsia"/>
        </w:rPr>
        <w:t>0.5-1.5m：30-40cm 匍匐类绿植，中距视觉缓冲；</w:t>
      </w:r>
    </w:p>
    <w:p w14:paraId="400BFAFF">
      <w:pPr>
        <w:spacing w:line="360" w:lineRule="auto"/>
        <w:rPr>
          <w:rFonts w:hint="eastAsia"/>
        </w:rPr>
      </w:pPr>
      <w:r>
        <w:rPr>
          <w:rFonts w:hint="eastAsia"/>
        </w:rPr>
        <w:t>1.5-3m：50cm 以下细密矮灌木，模拟远距 6 米望远效果。</w:t>
      </w:r>
    </w:p>
    <w:p w14:paraId="3E2EEC14">
      <w:pPr>
        <w:spacing w:line="360" w:lineRule="auto"/>
        <w:rPr>
          <w:rFonts w:hint="eastAsia"/>
        </w:rPr>
      </w:pPr>
      <w:r>
        <w:rPr>
          <w:rFonts w:hint="eastAsia"/>
        </w:rPr>
        <w:t>3. 配套设施</w:t>
      </w:r>
    </w:p>
    <w:p w14:paraId="4E98D5A4">
      <w:pPr>
        <w:spacing w:line="360" w:lineRule="auto"/>
        <w:rPr>
          <w:rFonts w:hint="eastAsia"/>
        </w:rPr>
      </w:pPr>
      <w:r>
        <w:rPr>
          <w:rFonts w:hint="eastAsia"/>
        </w:rPr>
        <w:t>配置可升降花架，底部带导水槽，防积水蚊虫滋生；</w:t>
      </w:r>
    </w:p>
    <w:p w14:paraId="5D012207">
      <w:pPr>
        <w:spacing w:line="360" w:lineRule="auto"/>
        <w:rPr>
          <w:rFonts w:hint="eastAsia"/>
        </w:rPr>
      </w:pPr>
      <w:r>
        <w:rPr>
          <w:rFonts w:hint="eastAsia"/>
        </w:rPr>
        <w:t>设立绿植护眼科普标牌，联动居家护眼打卡；</w:t>
      </w:r>
    </w:p>
    <w:p w14:paraId="176DA853">
      <w:pPr>
        <w:spacing w:line="360" w:lineRule="auto"/>
        <w:rPr>
          <w:rFonts w:hint="eastAsia"/>
        </w:rPr>
      </w:pPr>
      <w:r>
        <w:rPr>
          <w:rFonts w:hint="eastAsia"/>
        </w:rPr>
        <w:t>摆放爱络博蓝莓叶黄素护眼贴展示架，搭配 “观察绿植 + 护眼贴缓解视疲劳” 提示牌；</w:t>
      </w:r>
    </w:p>
    <w:p w14:paraId="0E3F286E">
      <w:pPr>
        <w:spacing w:line="360" w:lineRule="auto"/>
        <w:rPr>
          <w:rFonts w:hint="eastAsia"/>
        </w:rPr>
      </w:pPr>
      <w:r>
        <w:rPr>
          <w:rFonts w:hint="eastAsia"/>
        </w:rPr>
        <w:t>整体打包成标准化近视友好绿植包，带养护说明与替换服务。</w:t>
      </w:r>
    </w:p>
    <w:p w14:paraId="4EB99A6E">
      <w:pPr>
        <w:spacing w:line="360" w:lineRule="auto"/>
        <w:rPr>
          <w:rFonts w:hint="eastAsia"/>
        </w:rPr>
      </w:pPr>
      <w:r>
        <w:rPr>
          <w:rFonts w:hint="eastAsia"/>
        </w:rPr>
        <w:t>四、全屋光环境系统（全参数配齐）</w:t>
      </w:r>
    </w:p>
    <w:p w14:paraId="6ACFE91C">
      <w:pPr>
        <w:spacing w:line="360" w:lineRule="auto"/>
        <w:rPr>
          <w:rFonts w:hint="eastAsia"/>
        </w:rPr>
      </w:pPr>
      <w:r>
        <w:rPr>
          <w:rFonts w:hint="eastAsia"/>
        </w:rPr>
        <w:t>1. 窗帘配置</w:t>
      </w:r>
    </w:p>
    <w:p w14:paraId="7B15C7B3">
      <w:pPr>
        <w:spacing w:line="360" w:lineRule="auto"/>
        <w:rPr>
          <w:rFonts w:hint="eastAsia"/>
        </w:rPr>
      </w:pPr>
      <w:r>
        <w:rPr>
          <w:rFonts w:hint="eastAsia"/>
        </w:rPr>
        <w:t>双层定制：外层 99% 以上全遮光高密窗帘、内层半透光柔纱帘；严控夜间光污染，把室内夜间光强稳定控制在93 nW/cm²/sr临界阈值以下。</w:t>
      </w:r>
    </w:p>
    <w:p w14:paraId="56467D4A">
      <w:pPr>
        <w:spacing w:line="360" w:lineRule="auto"/>
        <w:rPr>
          <w:rFonts w:hint="eastAsia"/>
        </w:rPr>
      </w:pPr>
      <w:r>
        <w:rPr>
          <w:rFonts w:hint="eastAsia"/>
        </w:rPr>
        <w:t>2. 分时灯光系统</w:t>
      </w:r>
    </w:p>
    <w:p w14:paraId="6007A6DE">
      <w:pPr>
        <w:spacing w:line="360" w:lineRule="auto"/>
        <w:rPr>
          <w:rFonts w:hint="eastAsia"/>
        </w:rPr>
      </w:pPr>
      <w:r>
        <w:rPr>
          <w:rFonts w:hint="eastAsia"/>
        </w:rPr>
        <w:t>日间 8:00-18:00：4000K 自然光 LED，照度 300-500lux，显色指数 Ra≥90；</w:t>
      </w:r>
    </w:p>
    <w:p w14:paraId="1E720D53">
      <w:pPr>
        <w:spacing w:line="360" w:lineRule="auto"/>
        <w:rPr>
          <w:rFonts w:hint="eastAsia"/>
        </w:rPr>
      </w:pPr>
      <w:r>
        <w:rPr>
          <w:rFonts w:hint="eastAsia"/>
        </w:rPr>
        <w:t>夜间 18:00-22:00：自动切换 3000K 低蓝光暖光，照度≤100lux，蓝光危害 RG0 级；</w:t>
      </w:r>
    </w:p>
    <w:p w14:paraId="2F6D084B">
      <w:pPr>
        <w:spacing w:line="360" w:lineRule="auto"/>
        <w:rPr>
          <w:rFonts w:hint="eastAsia"/>
        </w:rPr>
      </w:pPr>
      <w:r>
        <w:rPr>
          <w:rFonts w:hint="eastAsia"/>
        </w:rPr>
        <w:t>睡眠 22:00 后：仅留≤5lux 防眩小夜灯，剔除 460nm 有害蓝光波段；</w:t>
      </w:r>
    </w:p>
    <w:p w14:paraId="256ED90D">
      <w:pPr>
        <w:spacing w:line="360" w:lineRule="auto"/>
        <w:rPr>
          <w:rFonts w:hint="eastAsia"/>
        </w:rPr>
      </w:pPr>
      <w:r>
        <w:rPr>
          <w:rFonts w:hint="eastAsia"/>
        </w:rPr>
        <w:t>阅读 / 网课模式：桌面自动升至 500lux，休闲模式降至 200lux；</w:t>
      </w:r>
    </w:p>
    <w:p w14:paraId="09377D4F">
      <w:pPr>
        <w:spacing w:line="360" w:lineRule="auto"/>
        <w:rPr>
          <w:rFonts w:hint="eastAsia"/>
        </w:rPr>
      </w:pPr>
      <w:r>
        <w:rPr>
          <w:rFonts w:hint="eastAsia"/>
        </w:rPr>
        <w:t>所有灯具深罩防眩设计 UGR≤16，无频闪、无眩光。</w:t>
      </w:r>
    </w:p>
    <w:p w14:paraId="0852680B">
      <w:pPr>
        <w:spacing w:line="360" w:lineRule="auto"/>
        <w:rPr>
          <w:rFonts w:hint="eastAsia"/>
        </w:rPr>
      </w:pPr>
      <w:r>
        <w:rPr>
          <w:rFonts w:hint="eastAsia"/>
        </w:rPr>
        <w:t>3. 智能设备 &amp; 爱络博产品</w:t>
      </w:r>
    </w:p>
    <w:p w14:paraId="57A4662C">
      <w:pPr>
        <w:spacing w:line="360" w:lineRule="auto"/>
        <w:rPr>
          <w:rFonts w:hint="eastAsia"/>
        </w:rPr>
      </w:pPr>
      <w:r>
        <w:rPr>
          <w:rFonts w:hint="eastAsia"/>
        </w:rPr>
        <w:t>主读写位配置爱络博稀土护眼光谱护眼台灯；</w:t>
      </w:r>
    </w:p>
    <w:p w14:paraId="115DC501">
      <w:pPr>
        <w:spacing w:line="360" w:lineRule="auto"/>
        <w:rPr>
          <w:rFonts w:hint="eastAsia"/>
        </w:rPr>
      </w:pPr>
      <w:r>
        <w:rPr>
          <w:rFonts w:hint="eastAsia"/>
        </w:rPr>
        <w:t>加装光环境监测传感器，实时数值可视化，超标自动给家长手机推送预警；</w:t>
      </w:r>
    </w:p>
    <w:p w14:paraId="69174AC3">
      <w:pPr>
        <w:spacing w:line="360" w:lineRule="auto"/>
        <w:rPr>
          <w:rFonts w:hint="eastAsia"/>
        </w:rPr>
      </w:pPr>
      <w:r>
        <w:rPr>
          <w:rFonts w:hint="eastAsia"/>
        </w:rPr>
        <w:t>光环境数据联动爱络博眼健康监测系统，同步入儿童眼健康档案。</w:t>
      </w:r>
    </w:p>
    <w:p w14:paraId="6124E176">
      <w:pPr>
        <w:spacing w:line="360" w:lineRule="auto"/>
        <w:rPr>
          <w:rFonts w:hint="eastAsia"/>
        </w:rPr>
      </w:pPr>
      <w:r>
        <w:rPr>
          <w:rFonts w:hint="eastAsia"/>
        </w:rPr>
        <w:t>五、空间软装 &amp;amp; 护眼读写区</w:t>
      </w:r>
    </w:p>
    <w:p w14:paraId="32A5A3BD">
      <w:pPr>
        <w:spacing w:line="360" w:lineRule="auto"/>
        <w:rPr>
          <w:rFonts w:hint="eastAsia"/>
        </w:rPr>
      </w:pPr>
      <w:r>
        <w:rPr>
          <w:rFonts w:hint="eastAsia"/>
        </w:rPr>
        <w:t>1. 地面 &amp; 软装</w:t>
      </w:r>
    </w:p>
    <w:p w14:paraId="61371E7C">
      <w:pPr>
        <w:spacing w:line="360" w:lineRule="auto"/>
        <w:rPr>
          <w:rFonts w:hint="eastAsia"/>
        </w:rPr>
      </w:pPr>
      <w:r>
        <w:rPr>
          <w:rFonts w:hint="eastAsia"/>
        </w:rPr>
        <w:t>地面采用哑光防滑材质，反射率≤20%；</w:t>
      </w:r>
    </w:p>
    <w:p w14:paraId="27987E4C">
      <w:pPr>
        <w:spacing w:line="360" w:lineRule="auto"/>
        <w:rPr>
          <w:rFonts w:hint="eastAsia"/>
        </w:rPr>
      </w:pPr>
      <w:r>
        <w:rPr>
          <w:rFonts w:hint="eastAsia"/>
        </w:rPr>
        <w:t>全屋摆件、装饰全部哑光材质，无高亮、高反光装饰，降低空间视觉刺激度；</w:t>
      </w:r>
    </w:p>
    <w:p w14:paraId="371EE982">
      <w:pPr>
        <w:spacing w:line="360" w:lineRule="auto"/>
        <w:rPr>
          <w:rFonts w:hint="eastAsia"/>
        </w:rPr>
      </w:pPr>
      <w:r>
        <w:rPr>
          <w:rFonts w:hint="eastAsia"/>
        </w:rPr>
        <w:t>靠窗预留无遮挡远眺视角，保证坐姿可直看绿植远距视野。</w:t>
      </w:r>
    </w:p>
    <w:p w14:paraId="3AF3868D">
      <w:pPr>
        <w:spacing w:line="360" w:lineRule="auto"/>
        <w:rPr>
          <w:rFonts w:hint="eastAsia"/>
        </w:rPr>
      </w:pPr>
      <w:r>
        <w:rPr>
          <w:rFonts w:hint="eastAsia"/>
        </w:rPr>
        <w:t>2. 成长型护眼桌椅</w:t>
      </w:r>
    </w:p>
    <w:p w14:paraId="6D81124E">
      <w:pPr>
        <w:spacing w:line="360" w:lineRule="auto"/>
        <w:rPr>
          <w:rFonts w:hint="eastAsia"/>
        </w:rPr>
      </w:pPr>
      <w:r>
        <w:rPr>
          <w:rFonts w:hint="eastAsia"/>
        </w:rPr>
        <w:t>桌面高度可调 52-76cm，座椅 30-50cm，适配 110-160cm 儿童；</w:t>
      </w:r>
    </w:p>
    <w:p w14:paraId="63BDA666">
      <w:pPr>
        <w:spacing w:line="360" w:lineRule="auto"/>
        <w:rPr>
          <w:rFonts w:hint="eastAsia"/>
        </w:rPr>
      </w:pPr>
      <w:r>
        <w:rPr>
          <w:rFonts w:hint="eastAsia"/>
        </w:rPr>
        <w:t>桌面倾斜 0-45° 可调，自带挡书条，维持读写眼距 33cm 以上；</w:t>
      </w:r>
    </w:p>
    <w:p w14:paraId="5A723E46">
      <w:pPr>
        <w:spacing w:line="360" w:lineRule="auto"/>
        <w:rPr>
          <w:rFonts w:hint="eastAsia"/>
        </w:rPr>
      </w:pPr>
      <w:r>
        <w:rPr>
          <w:rFonts w:hint="eastAsia"/>
        </w:rPr>
        <w:t>标配爱络博视远像离焦读写台，双光学动态离焦，延缓眼轴增长；</w:t>
      </w:r>
    </w:p>
    <w:p w14:paraId="6DCBAF8B">
      <w:pPr>
        <w:spacing w:line="360" w:lineRule="auto"/>
        <w:rPr>
          <w:rFonts w:hint="eastAsia"/>
        </w:rPr>
      </w:pPr>
      <w:r>
        <w:rPr>
          <w:rFonts w:hint="eastAsia"/>
        </w:rPr>
        <w:t>桌椅预留爱络博护眼仪、智能手环专属充电点位；</w:t>
      </w:r>
    </w:p>
    <w:p w14:paraId="4631C29F">
      <w:pPr>
        <w:spacing w:line="360" w:lineRule="auto"/>
        <w:rPr>
          <w:rFonts w:hint="eastAsia"/>
        </w:rPr>
      </w:pPr>
      <w:r>
        <w:rPr>
          <w:rFonts w:hint="eastAsia"/>
        </w:rPr>
        <w:t>联动可穿戴设备，每 20 分钟自动语音提醒远眺休息。</w:t>
      </w:r>
    </w:p>
    <w:p w14:paraId="50B638D4">
      <w:pPr>
        <w:spacing w:line="360" w:lineRule="auto"/>
        <w:rPr>
          <w:rFonts w:hint="eastAsia" w:eastAsiaTheme="minorEastAsia"/>
          <w:lang w:eastAsia="zh-CN"/>
        </w:rPr>
      </w:pPr>
      <w:r>
        <w:rPr>
          <w:rFonts w:hint="eastAsia"/>
        </w:rPr>
        <w:t>3. 儿童护眼床体专项设计</w:t>
      </w:r>
      <w:r>
        <w:rPr>
          <w:rFonts w:hint="eastAsia"/>
          <w:lang w:val="en-US" w:eastAsia="zh-CN"/>
        </w:rPr>
        <w:t xml:space="preserve"> </w:t>
      </w:r>
    </w:p>
    <w:p w14:paraId="62C200CE">
      <w:pPr>
        <w:spacing w:line="360" w:lineRule="auto"/>
        <w:rPr>
          <w:rFonts w:hint="eastAsia"/>
        </w:rPr>
      </w:pPr>
      <w:r>
        <w:rPr>
          <w:rFonts w:hint="eastAsia"/>
        </w:rPr>
        <w:t>整体遵循低视觉刺激、防眩光、安全护目、助眠护眼设计标准，适配儿童睡眠视觉修复与眼部放松需求，与全屋近视友好体系统一。</w:t>
      </w:r>
    </w:p>
    <w:p w14:paraId="52DB465F">
      <w:pPr>
        <w:spacing w:line="360" w:lineRule="auto"/>
        <w:rPr>
          <w:rFonts w:hint="eastAsia"/>
        </w:rPr>
      </w:pPr>
      <w:r>
        <w:rPr>
          <w:rFonts w:hint="eastAsia"/>
        </w:rPr>
        <w:t>材质外观：通体哑光环保板材，无烤漆亮面、无金属反光装饰，床体表面反射率≤25%，匹配全屋低反光体系；采用低饱和莫兰迪哑光色系，与墙面墙纸色调统一，无高对比刺眼配色，减少眼部持续刺激。</w:t>
      </w:r>
    </w:p>
    <w:p w14:paraId="41F6E279">
      <w:pPr>
        <w:spacing w:line="360" w:lineRule="auto"/>
        <w:rPr>
          <w:rFonts w:hint="eastAsia"/>
        </w:rPr>
      </w:pPr>
      <w:r>
        <w:rPr>
          <w:rFonts w:hint="eastAsia"/>
        </w:rPr>
        <w:t>结构安全：全屋圆弧倒角工艺，无尖锐棱角，杜绝儿童磕碰；床架稳固静音，避免晃动干扰休息，保障眼部疲劳修复的充足睡眠环境。</w:t>
      </w:r>
    </w:p>
    <w:p w14:paraId="125C16A7">
      <w:pPr>
        <w:spacing w:line="360" w:lineRule="auto"/>
        <w:rPr>
          <w:rFonts w:hint="eastAsia"/>
        </w:rPr>
      </w:pPr>
      <w:r>
        <w:rPr>
          <w:rFonts w:hint="eastAsia"/>
        </w:rPr>
        <w:t>视觉护目布局：床体避开强光直射与灯光眩光直射区域，床头不正对窗户逆光位置，避免晨起强光刺眼、夜间光影闪烁造成视疲劳；床头无繁杂印花、高对比图案，板面简洁素雅，降低睡眠时视觉神经兴奋度。</w:t>
      </w:r>
    </w:p>
    <w:p w14:paraId="14E59C80">
      <w:pPr>
        <w:spacing w:line="360" w:lineRule="auto"/>
        <w:rPr>
          <w:rFonts w:hint="eastAsia"/>
        </w:rPr>
      </w:pPr>
      <w:r>
        <w:rPr>
          <w:rFonts w:hint="eastAsia"/>
        </w:rPr>
        <w:t>助眠护眼配置：床头预留嵌入式柔光夜灯点位，匹配全屋睡眠期≤5lux低光标准，RG0零蓝光危害，无频闪防眩光，起夜不刺激双眼；床周无外露光源、反光构件，保障夜间睡眠光环境完全符合93 nW/cm²/sr夜间光阈值要求。</w:t>
      </w:r>
    </w:p>
    <w:p w14:paraId="0B235F19">
      <w:pPr>
        <w:spacing w:line="360" w:lineRule="auto"/>
        <w:rPr>
          <w:rFonts w:hint="eastAsia"/>
        </w:rPr>
      </w:pPr>
      <w:r>
        <w:rPr>
          <w:rFonts w:hint="eastAsia"/>
        </w:rPr>
        <w:t>尺寸适配：采用成长型尺寸设计，适配3-12岁儿童身高变化，床面高度贴合儿童起身、休憩习惯，保障体态放松，间接减少用眼代偿疲劳。</w:t>
      </w:r>
    </w:p>
    <w:p w14:paraId="1862ED33">
      <w:pPr>
        <w:spacing w:line="360" w:lineRule="auto"/>
        <w:rPr>
          <w:rFonts w:hint="eastAsia"/>
        </w:rPr>
      </w:pPr>
      <w:r>
        <w:rPr>
          <w:rFonts w:hint="eastAsia"/>
          <w:lang w:val="en-US" w:eastAsia="zh-CN"/>
        </w:rPr>
        <w:t xml:space="preserve"> </w:t>
      </w:r>
      <w:r>
        <w:rPr>
          <w:rFonts w:hint="eastAsia"/>
        </w:rPr>
        <w:t>六、三大专属功能专区（全部配齐）</w:t>
      </w:r>
    </w:p>
    <w:p w14:paraId="3558E6EC">
      <w:pPr>
        <w:spacing w:line="360" w:lineRule="auto"/>
        <w:rPr>
          <w:rFonts w:hint="eastAsia"/>
        </w:rPr>
      </w:pPr>
      <w:r>
        <w:rPr>
          <w:rFonts w:hint="eastAsia"/>
        </w:rPr>
        <w:t>1. 智能眼健康监测模块</w:t>
      </w:r>
    </w:p>
    <w:p w14:paraId="65E6559E">
      <w:pPr>
        <w:spacing w:line="360" w:lineRule="auto"/>
        <w:rPr>
          <w:rFonts w:hint="eastAsia"/>
        </w:rPr>
      </w:pPr>
      <w:r>
        <w:rPr>
          <w:rFonts w:hint="eastAsia"/>
        </w:rPr>
        <w:t>嵌入式安装爱络博 eyerobo VS 视力筛查仪（家庭版），自带暗室，不受环境光干扰；可自助筛查屈光、眼轴等全指标；</w:t>
      </w:r>
    </w:p>
    <w:p w14:paraId="06D2115F">
      <w:pPr>
        <w:spacing w:line="360" w:lineRule="auto"/>
        <w:rPr>
          <w:rFonts w:hint="eastAsia"/>
        </w:rPr>
      </w:pPr>
      <w:r>
        <w:rPr>
          <w:rFonts w:hint="eastAsia"/>
        </w:rPr>
        <w:t>书桌区域隐私型用眼行为监测摄像头，监测读写姿势、用眼时长，异常实时语音提醒；</w:t>
      </w:r>
    </w:p>
    <w:p w14:paraId="222B8037">
      <w:pPr>
        <w:spacing w:line="360" w:lineRule="auto"/>
        <w:rPr>
          <w:rFonts w:hint="eastAsia"/>
        </w:rPr>
      </w:pPr>
      <w:r>
        <w:rPr>
          <w:rFonts w:hint="eastAsia"/>
        </w:rPr>
        <w:t>入口设数据可视化电子屏，展示眼健康周报、月报，家长扫码可查看；</w:t>
      </w:r>
    </w:p>
    <w:p w14:paraId="3A770D24">
      <w:pPr>
        <w:spacing w:line="360" w:lineRule="auto"/>
        <w:rPr>
          <w:rFonts w:hint="eastAsia"/>
        </w:rPr>
      </w:pPr>
      <w:r>
        <w:rPr>
          <w:rFonts w:hint="eastAsia"/>
        </w:rPr>
        <w:t>异常数据自动联动眼视光门诊，同步推送个性化视觉训练方案。</w:t>
      </w:r>
    </w:p>
    <w:p w14:paraId="0E6F2D44">
      <w:pPr>
        <w:spacing w:line="360" w:lineRule="auto"/>
        <w:rPr>
          <w:rFonts w:hint="eastAsia"/>
        </w:rPr>
      </w:pPr>
      <w:r>
        <w:rPr>
          <w:rFonts w:hint="eastAsia"/>
        </w:rPr>
        <w:t>2. 视力自测专区</w:t>
      </w:r>
    </w:p>
    <w:p w14:paraId="25CA47C7">
      <w:pPr>
        <w:spacing w:line="360" w:lineRule="auto"/>
        <w:rPr>
          <w:rFonts w:hint="eastAsia"/>
        </w:rPr>
      </w:pPr>
      <w:r>
        <w:rPr>
          <w:rFonts w:hint="eastAsia"/>
        </w:rPr>
        <w:t>选址墙面净距≥3 米安静角落；</w:t>
      </w:r>
    </w:p>
    <w:p w14:paraId="36FA4780">
      <w:pPr>
        <w:spacing w:line="360" w:lineRule="auto"/>
        <w:rPr>
          <w:rFonts w:hint="eastAsia"/>
        </w:rPr>
      </w:pPr>
      <w:r>
        <w:rPr>
          <w:rFonts w:hint="eastAsia"/>
        </w:rPr>
        <w:t>配爱络博护眼射灯，照度 300-500lx 无阴影眩光；</w:t>
      </w:r>
    </w:p>
    <w:p w14:paraId="3AEC643B">
      <w:pPr>
        <w:spacing w:line="360" w:lineRule="auto"/>
        <w:rPr>
          <w:rFonts w:hint="eastAsia"/>
        </w:rPr>
      </w:pPr>
      <w:r>
        <w:rPr>
          <w:rFonts w:hint="eastAsia"/>
        </w:rPr>
        <w:t>配置爱络博 eyerobo VS 视力筛查仪（便携版）、低反光标准视力表、遮眼板、地面标准距离标线、自测记录卡；</w:t>
      </w:r>
    </w:p>
    <w:p w14:paraId="69D932C0">
      <w:pPr>
        <w:spacing w:line="360" w:lineRule="auto"/>
        <w:rPr>
          <w:rFonts w:hint="eastAsia"/>
        </w:rPr>
      </w:pPr>
      <w:r>
        <w:rPr>
          <w:rFonts w:hint="eastAsia"/>
        </w:rPr>
        <w:t>设备支持 Wi-Fi / 蓝牙传数据，自动生成电子报告并入眼健康档案。</w:t>
      </w:r>
    </w:p>
    <w:p w14:paraId="74738961">
      <w:pPr>
        <w:spacing w:line="360" w:lineRule="auto"/>
        <w:rPr>
          <w:rFonts w:hint="eastAsia"/>
        </w:rPr>
      </w:pPr>
      <w:r>
        <w:rPr>
          <w:rFonts w:hint="eastAsia"/>
        </w:rPr>
        <w:t>3. 视觉训练专区</w:t>
      </w:r>
    </w:p>
    <w:p w14:paraId="5CE4AD7E">
      <w:pPr>
        <w:spacing w:line="360" w:lineRule="auto"/>
        <w:rPr>
          <w:rFonts w:hint="eastAsia"/>
        </w:rPr>
      </w:pPr>
      <w:r>
        <w:rPr>
          <w:rFonts w:hint="eastAsia"/>
        </w:rPr>
        <w:t>紧邻自测区、绿植区，形成自测 — 训练 — 绿植放松闭环动线：</w:t>
      </w:r>
    </w:p>
    <w:p w14:paraId="037E961A">
      <w:pPr>
        <w:spacing w:line="360" w:lineRule="auto"/>
        <w:rPr>
          <w:rFonts w:hint="eastAsia"/>
        </w:rPr>
      </w:pPr>
      <w:r>
        <w:rPr>
          <w:rFonts w:hint="eastAsia"/>
        </w:rPr>
        <w:t>标配爱络博睫壮机智能眼健康训练仪 SF10、贝视优视觉功能训练软件；</w:t>
      </w:r>
    </w:p>
    <w:p w14:paraId="35350810">
      <w:pPr>
        <w:spacing w:line="360" w:lineRule="auto"/>
        <w:rPr>
          <w:rFonts w:hint="eastAsia"/>
        </w:rPr>
      </w:pPr>
      <w:r>
        <w:rPr>
          <w:rFonts w:hint="eastAsia"/>
        </w:rPr>
        <w:t>配备静音计时器、训练步骤上墙海报、产品使用指南；</w:t>
      </w:r>
    </w:p>
    <w:p w14:paraId="76527109">
      <w:pPr>
        <w:spacing w:line="360" w:lineRule="auto"/>
        <w:rPr>
          <w:rFonts w:hint="eastAsia"/>
        </w:rPr>
      </w:pPr>
      <w:r>
        <w:rPr>
          <w:rFonts w:hint="eastAsia"/>
        </w:rPr>
        <w:t>区域采用爱络博专用柔光照明，无反光、无外界视觉干扰；</w:t>
      </w:r>
    </w:p>
    <w:p w14:paraId="54A6AC39">
      <w:pPr>
        <w:spacing w:line="360" w:lineRule="auto"/>
        <w:rPr>
          <w:rFonts w:hint="eastAsia"/>
        </w:rPr>
      </w:pPr>
      <w:r>
        <w:rPr>
          <w:rFonts w:hint="eastAsia"/>
        </w:rPr>
        <w:t>游戏化 AI 定制训练难度，每日 5-10 分钟，云端留存训练数据。</w:t>
      </w:r>
    </w:p>
    <w:p w14:paraId="5A5A58B3">
      <w:pPr>
        <w:spacing w:line="360" w:lineRule="auto"/>
        <w:rPr>
          <w:rFonts w:hint="eastAsia"/>
        </w:rPr>
      </w:pPr>
      <w:r>
        <w:rPr>
          <w:rFonts w:hint="eastAsia"/>
        </w:rPr>
        <w:t>七、样板间爱络博标配产品完整清单</w:t>
      </w:r>
    </w:p>
    <w:p w14:paraId="7B4873AF">
      <w:pPr>
        <w:spacing w:line="360" w:lineRule="auto"/>
        <w:rPr>
          <w:rFonts w:hint="eastAsia"/>
        </w:rPr>
      </w:pPr>
      <w:r>
        <w:rPr>
          <w:rFonts w:hint="eastAsia"/>
        </w:rPr>
        <w:t>光环境：稀土护眼光谱护眼台灯</w:t>
      </w:r>
    </w:p>
    <w:p w14:paraId="6A9ED01F">
      <w:pPr>
        <w:spacing w:line="360" w:lineRule="auto"/>
        <w:rPr>
          <w:rFonts w:hint="eastAsia"/>
        </w:rPr>
      </w:pPr>
      <w:r>
        <w:rPr>
          <w:rFonts w:hint="eastAsia"/>
        </w:rPr>
        <w:t>读写区：视远像离焦读写台</w:t>
      </w:r>
    </w:p>
    <w:p w14:paraId="152550D7">
      <w:pPr>
        <w:spacing w:line="360" w:lineRule="auto"/>
        <w:rPr>
          <w:rFonts w:hint="eastAsia"/>
        </w:rPr>
      </w:pPr>
      <w:r>
        <w:rPr>
          <w:rFonts w:hint="eastAsia"/>
        </w:rPr>
        <w:t>监测自测：eyerobo VS 视力筛查仪（家庭版 + 便携版）</w:t>
      </w:r>
    </w:p>
    <w:p w14:paraId="1F04BD87">
      <w:pPr>
        <w:spacing w:line="360" w:lineRule="auto"/>
        <w:rPr>
          <w:rFonts w:hint="eastAsia"/>
        </w:rPr>
      </w:pPr>
      <w:r>
        <w:rPr>
          <w:rFonts w:hint="eastAsia"/>
        </w:rPr>
        <w:t>视觉训练：睫壮机 SF10 训练仪、贝视优视觉训练软件</w:t>
      </w:r>
    </w:p>
    <w:p w14:paraId="1DAFFE28">
      <w:pPr>
        <w:spacing w:line="360" w:lineRule="auto"/>
        <w:rPr>
          <w:rFonts w:hint="eastAsia"/>
        </w:rPr>
      </w:pPr>
      <w:r>
        <w:rPr>
          <w:rFonts w:hint="eastAsia"/>
        </w:rPr>
        <w:t>护理配套：蓝莓叶黄素护眼贴</w:t>
      </w:r>
    </w:p>
    <w:p w14:paraId="1F69787C">
      <w:pPr>
        <w:spacing w:line="360" w:lineRule="auto"/>
        <w:rPr>
          <w:rFonts w:hint="eastAsia"/>
        </w:rPr>
      </w:pPr>
      <w:r>
        <w:rPr>
          <w:rFonts w:hint="eastAsia"/>
        </w:rPr>
        <w:t>八、适配落地优势</w:t>
      </w:r>
    </w:p>
    <w:p w14:paraId="5920EE38">
      <w:pPr>
        <w:spacing w:line="360" w:lineRule="auto"/>
        <w:rPr>
          <w:rFonts w:hint="eastAsia"/>
        </w:rPr>
      </w:pPr>
      <w:r>
        <w:rPr>
          <w:rFonts w:hint="eastAsia"/>
        </w:rPr>
        <w:t>完全符合《中国儿童青少年近视防控指南 2024》《住宅室内近视友好环境技术规程》标准；</w:t>
      </w:r>
    </w:p>
    <w:p w14:paraId="7F6E60F5">
      <w:pPr>
        <w:spacing w:line="360" w:lineRule="auto"/>
        <w:rPr>
          <w:rFonts w:hint="eastAsia"/>
        </w:rPr>
      </w:pPr>
      <w:r>
        <w:rPr>
          <w:rFonts w:hint="eastAsia"/>
        </w:rPr>
        <w:t>墙纸、绿植、灯光、软装、家具、智能设备、产品全部模块化，可直接复制用于房企精装、家装套餐、校园改造、视光机构体验区；</w:t>
      </w:r>
    </w:p>
    <w:p w14:paraId="611B3C2B">
      <w:pPr>
        <w:spacing w:line="360" w:lineRule="auto"/>
        <w:rPr>
          <w:rFonts w:hint="eastAsia"/>
        </w:rPr>
      </w:pPr>
      <w:r>
        <w:rPr>
          <w:rFonts w:hint="eastAsia"/>
        </w:rPr>
        <w:t>实现科研场景 + 硬装软装 + 家具配套 + 智能设备 + 产品转化全要素齐全，无需额外增补。</w:t>
      </w:r>
    </w:p>
    <w:p w14:paraId="3208945D">
      <w:pPr>
        <w:spacing w:line="360" w:lineRule="auto"/>
        <w:rPr>
          <w:rFonts w:hint="eastAsia"/>
        </w:rPr>
      </w:pPr>
    </w:p>
    <w:p w14:paraId="3659BA32">
      <w:pPr>
        <w:spacing w:line="360" w:lineRule="auto"/>
        <w:rPr>
          <w:rFonts w:hint="default" w:eastAsiaTheme="minorEastAsia"/>
          <w:lang w:val="en-US" w:eastAsia="zh-CN"/>
        </w:rPr>
      </w:pPr>
      <w:r>
        <w:rPr>
          <w:rFonts w:hint="eastAsia"/>
          <w:lang w:val="en-US" w:eastAsia="zh-CN"/>
        </w:rPr>
        <w:t>参考：</w:t>
      </w:r>
    </w:p>
    <w:p w14:paraId="3B3FAFDD">
      <w:pPr>
        <w:spacing w:line="360" w:lineRule="auto"/>
        <w:rPr>
          <w:rFonts w:hint="eastAsia" w:eastAsiaTheme="minorEastAsia"/>
          <w:lang w:eastAsia="zh-CN"/>
        </w:rPr>
      </w:pPr>
      <w:r>
        <w:rPr>
          <w:rFonts w:hint="eastAsia" w:eastAsiaTheme="minorEastAsia"/>
          <w:lang w:eastAsia="zh-CN"/>
        </w:rPr>
        <w:drawing>
          <wp:inline distT="0" distB="0" distL="114300" distR="114300">
            <wp:extent cx="5256530" cy="2951480"/>
            <wp:effectExtent l="0" t="0" r="1270" b="5080"/>
            <wp:docPr id="1" name="图片 1" descr="儿童近视友好型全屋空间效果图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儿童近视友好型全屋空间效果图设计"/>
                    <pic:cNvPicPr>
                      <a:picLocks noChangeAspect="1"/>
                    </pic:cNvPicPr>
                  </pic:nvPicPr>
                  <pic:blipFill>
                    <a:blip r:embed="rId4"/>
                    <a:stretch>
                      <a:fillRect/>
                    </a:stretch>
                  </pic:blipFill>
                  <pic:spPr>
                    <a:xfrm>
                      <a:off x="0" y="0"/>
                      <a:ext cx="5256530" cy="2951480"/>
                    </a:xfrm>
                    <a:prstGeom prst="rect">
                      <a:avLst/>
                    </a:prstGeom>
                  </pic:spPr>
                </pic:pic>
              </a:graphicData>
            </a:graphic>
          </wp:inline>
        </w:drawing>
      </w:r>
    </w:p>
    <w:p w14:paraId="76775446">
      <w:pPr>
        <w:spacing w:line="360" w:lineRule="auto"/>
        <w:rPr>
          <w:rFonts w:hint="eastAsia"/>
        </w:rPr>
      </w:pPr>
    </w:p>
    <w:p w14:paraId="2E7C446F">
      <w:pPr>
        <w:spacing w:line="360" w:lineRule="auto"/>
        <w:rPr>
          <w:rFonts w:hint="eastAsia"/>
        </w:rPr>
      </w:pPr>
    </w:p>
    <w:p w14:paraId="64D9A6D7">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34AB5FF8">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CE0F074">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37D86FD9">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4C84CDEB">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1CDCD1BF">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CF0A51A">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56CB7954">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211284A9">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377079F7">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1122D207">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27C0D0D6">
      <w:pPr>
        <w:widowControl w:val="0"/>
        <w:numPr>
          <w:ilvl w:val="0"/>
          <w:numId w:val="0"/>
        </w:numPr>
        <w:spacing w:line="360" w:lineRule="auto"/>
        <w:jc w:val="both"/>
        <w:rPr>
          <w:rFonts w:hint="default" w:ascii="宋体" w:hAnsi="宋体" w:eastAsia="宋体" w:cs="宋体"/>
          <w:i w:val="0"/>
          <w:iCs w:val="0"/>
          <w:caps w:val="0"/>
          <w:color w:val="auto"/>
          <w:spacing w:val="0"/>
          <w:sz w:val="24"/>
          <w:szCs w:val="24"/>
          <w:lang w:val="en-US" w:eastAsia="zh-CN"/>
        </w:rPr>
      </w:pPr>
    </w:p>
    <w:p w14:paraId="776A9237">
      <w:pPr>
        <w:widowControl w:val="0"/>
        <w:numPr>
          <w:ilvl w:val="0"/>
          <w:numId w:val="0"/>
        </w:numPr>
        <w:spacing w:line="360" w:lineRule="auto"/>
        <w:jc w:val="both"/>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附件3</w:t>
      </w:r>
    </w:p>
    <w:p w14:paraId="0F9C18F1">
      <w:pPr>
        <w:jc w:val="center"/>
        <w:rPr>
          <w:rFonts w:hint="eastAsia" w:ascii="宋体" w:hAnsi="宋体" w:eastAsia="宋体"/>
          <w:b/>
          <w:bCs/>
          <w:sz w:val="28"/>
          <w:szCs w:val="28"/>
        </w:rPr>
      </w:pPr>
      <w:r>
        <w:rPr>
          <w:rFonts w:hint="eastAsia" w:ascii="宋体" w:hAnsi="宋体" w:eastAsia="宋体"/>
          <w:b/>
          <w:bCs/>
          <w:sz w:val="28"/>
          <w:szCs w:val="28"/>
        </w:rPr>
        <w:t>大健康房装修设计方案</w:t>
      </w:r>
    </w:p>
    <w:p w14:paraId="0D96F600">
      <w:pPr>
        <w:rPr>
          <w:rFonts w:hint="eastAsia" w:ascii="宋体" w:hAnsi="宋体" w:eastAsia="宋体"/>
          <w:sz w:val="24"/>
        </w:rPr>
      </w:pPr>
      <w:r>
        <w:rPr>
          <w:rFonts w:hint="eastAsia" w:ascii="宋体" w:hAnsi="宋体" w:eastAsia="宋体"/>
          <w:sz w:val="24"/>
        </w:rPr>
        <w:t>一、项目定位及设计原则</w:t>
      </w:r>
    </w:p>
    <w:p w14:paraId="0BCAB916">
      <w:pPr>
        <w:rPr>
          <w:rFonts w:hint="eastAsia" w:ascii="宋体" w:hAnsi="宋体" w:eastAsia="宋体"/>
          <w:sz w:val="24"/>
        </w:rPr>
      </w:pPr>
      <w:r>
        <w:rPr>
          <w:rFonts w:ascii="宋体" w:hAnsi="宋体" w:eastAsia="宋体"/>
          <w:sz w:val="24"/>
        </w:rPr>
        <w:t>本方案以“安全第一、健康为本、智慧守护”为核心理念，打造集生活起居</w:t>
      </w:r>
      <w:r>
        <w:rPr>
          <w:rFonts w:hint="eastAsia" w:ascii="宋体" w:hAnsi="宋体" w:eastAsia="宋体"/>
          <w:sz w:val="24"/>
        </w:rPr>
        <w:t>与</w:t>
      </w:r>
      <w:r>
        <w:rPr>
          <w:rFonts w:ascii="宋体" w:hAnsi="宋体" w:eastAsia="宋体"/>
          <w:sz w:val="24"/>
        </w:rPr>
        <w:t>健康监测于一体的</w:t>
      </w:r>
      <w:r>
        <w:rPr>
          <w:rFonts w:hint="eastAsia" w:ascii="宋体" w:hAnsi="宋体" w:eastAsia="宋体"/>
          <w:sz w:val="24"/>
        </w:rPr>
        <w:t>大健康</w:t>
      </w:r>
      <w:r>
        <w:rPr>
          <w:rFonts w:ascii="宋体" w:hAnsi="宋体" w:eastAsia="宋体"/>
          <w:sz w:val="24"/>
        </w:rPr>
        <w:t>房样板间</w:t>
      </w:r>
      <w:r>
        <w:rPr>
          <w:rFonts w:hint="eastAsia" w:ascii="宋体" w:hAnsi="宋体" w:eastAsia="宋体"/>
          <w:sz w:val="24"/>
        </w:rPr>
        <w:t>。围绕安全性、健康性、舒适性为主要维度开展。</w:t>
      </w:r>
    </w:p>
    <w:p w14:paraId="0629C9DD">
      <w:pPr>
        <w:rPr>
          <w:rFonts w:hint="eastAsia" w:ascii="宋体" w:hAnsi="宋体" w:eastAsia="宋体"/>
          <w:sz w:val="24"/>
        </w:rPr>
      </w:pPr>
      <w:r>
        <w:rPr>
          <w:rFonts w:hint="eastAsia" w:ascii="宋体" w:hAnsi="宋体" w:eastAsia="宋体"/>
          <w:sz w:val="24"/>
        </w:rPr>
        <w:t>二、全屋整体规划与硬件设备</w:t>
      </w:r>
    </w:p>
    <w:p w14:paraId="53FCCD33">
      <w:pPr>
        <w:rPr>
          <w:rFonts w:hint="eastAsia" w:ascii="宋体" w:hAnsi="宋体" w:eastAsia="宋体"/>
          <w:sz w:val="24"/>
        </w:rPr>
      </w:pPr>
      <w:r>
        <w:rPr>
          <w:rFonts w:hint="eastAsia" w:ascii="宋体" w:hAnsi="宋体" w:eastAsia="宋体"/>
          <w:sz w:val="24"/>
        </w:rPr>
        <w:t>1、地面零高差设计</w:t>
      </w:r>
    </w:p>
    <w:p w14:paraId="21C74E26">
      <w:pPr>
        <w:rPr>
          <w:rFonts w:hint="eastAsia" w:ascii="宋体" w:hAnsi="宋体" w:eastAsia="宋体"/>
          <w:sz w:val="24"/>
        </w:rPr>
      </w:pPr>
      <w:r>
        <w:rPr>
          <w:rFonts w:hint="eastAsia" w:ascii="宋体" w:hAnsi="宋体" w:eastAsia="宋体"/>
          <w:sz w:val="24"/>
        </w:rPr>
        <w:t>与其他房间交接处采用地砖（地板）通铺或收口条过渡，确保零高差。</w:t>
      </w:r>
    </w:p>
    <w:p w14:paraId="05F1D5C3">
      <w:pPr>
        <w:rPr>
          <w:rFonts w:hint="eastAsia" w:ascii="宋体" w:hAnsi="宋体" w:eastAsia="宋体"/>
          <w:sz w:val="24"/>
        </w:rPr>
      </w:pPr>
      <w:r>
        <w:rPr>
          <w:rFonts w:hint="eastAsia" w:ascii="宋体" w:hAnsi="宋体" w:eastAsia="宋体"/>
          <w:sz w:val="24"/>
        </w:rPr>
        <w:t>2、地面防滑</w:t>
      </w:r>
    </w:p>
    <w:p w14:paraId="3EBF7405">
      <w:pPr>
        <w:rPr>
          <w:rFonts w:hint="eastAsia" w:ascii="宋体" w:hAnsi="宋体" w:eastAsia="宋体"/>
          <w:sz w:val="24"/>
        </w:rPr>
      </w:pPr>
      <w:r>
        <w:rPr>
          <w:rFonts w:hint="eastAsia" w:ascii="宋体" w:hAnsi="宋体" w:eastAsia="宋体"/>
          <w:sz w:val="24"/>
        </w:rPr>
        <w:t>地面采用哑光防滑材质，或铺设防滑地垫，反射率≤20%。</w:t>
      </w:r>
    </w:p>
    <w:p w14:paraId="18DA2B18">
      <w:pPr>
        <w:rPr>
          <w:rFonts w:hint="eastAsia" w:ascii="宋体" w:hAnsi="宋体" w:eastAsia="宋体"/>
          <w:sz w:val="24"/>
        </w:rPr>
      </w:pPr>
      <w:r>
        <w:rPr>
          <w:rFonts w:hint="eastAsia" w:ascii="宋体" w:hAnsi="宋体" w:eastAsia="宋体"/>
          <w:sz w:val="24"/>
        </w:rPr>
        <w:t>拒绝采用易卷边的轻薄地毯，避开高反光、高亮泽材质。</w:t>
      </w:r>
    </w:p>
    <w:p w14:paraId="3856FC4C">
      <w:pPr>
        <w:rPr>
          <w:rFonts w:hint="eastAsia" w:ascii="宋体" w:hAnsi="宋体" w:eastAsia="宋体"/>
          <w:sz w:val="24"/>
        </w:rPr>
      </w:pPr>
      <w:r>
        <w:rPr>
          <w:rFonts w:hint="eastAsia" w:ascii="宋体" w:hAnsi="宋体" w:eastAsia="宋体"/>
          <w:sz w:val="24"/>
        </w:rPr>
        <w:t>3、墙体</w:t>
      </w:r>
    </w:p>
    <w:p w14:paraId="69E6FA55">
      <w:pPr>
        <w:rPr>
          <w:rFonts w:hint="eastAsia" w:ascii="宋体" w:hAnsi="宋体" w:eastAsia="宋体"/>
          <w:sz w:val="24"/>
        </w:rPr>
      </w:pPr>
      <w:r>
        <w:rPr>
          <w:rFonts w:ascii="宋体" w:hAnsi="宋体" w:eastAsia="宋体"/>
          <w:sz w:val="24"/>
        </w:rPr>
        <w:t>整体以低饱和莫兰迪色系为基调，色相柔和统一</w:t>
      </w:r>
      <w:r>
        <w:rPr>
          <w:rFonts w:hint="eastAsia" w:ascii="宋体" w:hAnsi="宋体" w:eastAsia="宋体"/>
          <w:sz w:val="24"/>
        </w:rPr>
        <w:t>；</w:t>
      </w:r>
      <w:r>
        <w:rPr>
          <w:rFonts w:ascii="宋体" w:hAnsi="宋体" w:eastAsia="宋体"/>
          <w:sz w:val="24"/>
        </w:rPr>
        <w:t>不采用大面积纯</w:t>
      </w:r>
      <w:r>
        <w:rPr>
          <w:rFonts w:hint="eastAsia" w:ascii="宋体" w:hAnsi="宋体" w:eastAsia="宋体"/>
          <w:sz w:val="24"/>
        </w:rPr>
        <w:t>白</w:t>
      </w:r>
      <w:r>
        <w:rPr>
          <w:rFonts w:ascii="宋体" w:hAnsi="宋体" w:eastAsia="宋体"/>
          <w:sz w:val="24"/>
        </w:rPr>
        <w:t>色墙面，避免持续视疲劳</w:t>
      </w:r>
      <w:r>
        <w:rPr>
          <w:rFonts w:hint="eastAsia" w:ascii="宋体" w:hAnsi="宋体" w:eastAsia="宋体"/>
          <w:sz w:val="24"/>
        </w:rPr>
        <w:t>；反射率控制在30%-50%之间；转角须有保护，避免磕碰。</w:t>
      </w:r>
    </w:p>
    <w:p w14:paraId="393353BD">
      <w:pPr>
        <w:rPr>
          <w:rFonts w:hint="eastAsia" w:ascii="宋体" w:hAnsi="宋体" w:eastAsia="宋体"/>
          <w:sz w:val="24"/>
        </w:rPr>
      </w:pPr>
      <w:r>
        <w:rPr>
          <w:rFonts w:hint="eastAsia" w:ascii="宋体" w:hAnsi="宋体" w:eastAsia="宋体"/>
          <w:sz w:val="24"/>
        </w:rPr>
        <w:t>4、灯光与窗帘</w:t>
      </w:r>
    </w:p>
    <w:p w14:paraId="621D9270">
      <w:pPr>
        <w:rPr>
          <w:rFonts w:hint="eastAsia" w:ascii="宋体" w:hAnsi="宋体" w:eastAsia="宋体"/>
          <w:sz w:val="24"/>
        </w:rPr>
      </w:pPr>
      <w:r>
        <w:rPr>
          <w:rFonts w:hint="eastAsia" w:ascii="宋体" w:hAnsi="宋体" w:eastAsia="宋体"/>
          <w:sz w:val="24"/>
        </w:rPr>
        <w:t>灯光：4000-5000K自然光，300-500lux，无频闪。</w:t>
      </w:r>
    </w:p>
    <w:p w14:paraId="6E9D172D">
      <w:pPr>
        <w:rPr>
          <w:rFonts w:hint="eastAsia" w:ascii="宋体" w:hAnsi="宋体" w:eastAsia="宋体"/>
          <w:sz w:val="24"/>
        </w:rPr>
      </w:pPr>
      <w:r>
        <w:rPr>
          <w:rFonts w:hint="eastAsia" w:ascii="宋体" w:hAnsi="宋体" w:eastAsia="宋体"/>
          <w:sz w:val="24"/>
        </w:rPr>
        <w:t>窗帘：双层定制窗帘，外层全遮光+内层半透。</w:t>
      </w:r>
    </w:p>
    <w:p w14:paraId="1A9F7FE4">
      <w:pPr>
        <w:rPr>
          <w:rFonts w:hint="eastAsia" w:ascii="宋体" w:hAnsi="宋体" w:eastAsia="宋体"/>
          <w:sz w:val="24"/>
        </w:rPr>
      </w:pPr>
      <w:r>
        <w:rPr>
          <w:rFonts w:hint="eastAsia" w:ascii="宋体" w:hAnsi="宋体" w:eastAsia="宋体"/>
          <w:sz w:val="24"/>
        </w:rPr>
        <w:t>5、家具</w:t>
      </w:r>
    </w:p>
    <w:p w14:paraId="3CDDC76E">
      <w:pPr>
        <w:rPr>
          <w:rFonts w:hint="eastAsia" w:ascii="宋体" w:hAnsi="宋体" w:eastAsia="宋体"/>
          <w:sz w:val="24"/>
        </w:rPr>
      </w:pPr>
      <w:r>
        <w:rPr>
          <w:rFonts w:hint="eastAsia" w:ascii="宋体" w:hAnsi="宋体" w:eastAsia="宋体"/>
          <w:sz w:val="24"/>
        </w:rPr>
        <w:t>5.1 桌椅</w:t>
      </w:r>
    </w:p>
    <w:p w14:paraId="126B72B0">
      <w:pPr>
        <w:rPr>
          <w:rFonts w:hint="eastAsia" w:ascii="宋体" w:hAnsi="宋体" w:eastAsia="宋体"/>
          <w:sz w:val="24"/>
        </w:rPr>
      </w:pPr>
      <w:r>
        <w:rPr>
          <w:rFonts w:hint="eastAsia" w:ascii="宋体" w:hAnsi="宋体" w:eastAsia="宋体"/>
          <w:sz w:val="24"/>
        </w:rPr>
        <w:t>书桌：一张，1400*600mm舒适高度，用于放置电脑和检测设备，需配备电源及网线。直角处需设置保护，避免磕碰。颜色与整体环境适配。</w:t>
      </w:r>
    </w:p>
    <w:p w14:paraId="5AF3E84C">
      <w:pPr>
        <w:rPr>
          <w:rFonts w:hint="eastAsia" w:ascii="宋体" w:hAnsi="宋体" w:eastAsia="宋体"/>
          <w:sz w:val="24"/>
        </w:rPr>
      </w:pPr>
      <w:r>
        <w:rPr>
          <w:rFonts w:hint="eastAsia" w:ascii="宋体" w:hAnsi="宋体" w:eastAsia="宋体"/>
          <w:sz w:val="24"/>
        </w:rPr>
        <w:t>座椅：两张，常规可升降办公学习椅。</w:t>
      </w:r>
    </w:p>
    <w:p w14:paraId="5DC23A01">
      <w:pPr>
        <w:rPr>
          <w:rFonts w:hint="eastAsia" w:ascii="宋体" w:hAnsi="宋体" w:eastAsia="宋体"/>
          <w:sz w:val="24"/>
        </w:rPr>
      </w:pPr>
      <w:r>
        <w:rPr>
          <w:rFonts w:hint="eastAsia" w:ascii="宋体" w:hAnsi="宋体" w:eastAsia="宋体"/>
          <w:sz w:val="24"/>
        </w:rPr>
        <w:t>5.2 床架</w:t>
      </w:r>
    </w:p>
    <w:p w14:paraId="2BC8D924">
      <w:pPr>
        <w:rPr>
          <w:rFonts w:hint="eastAsia" w:ascii="宋体" w:hAnsi="宋体" w:eastAsia="宋体"/>
          <w:sz w:val="24"/>
        </w:rPr>
      </w:pPr>
      <w:r>
        <w:rPr>
          <w:rFonts w:hint="eastAsia" w:ascii="宋体" w:hAnsi="宋体" w:eastAsia="宋体"/>
          <w:sz w:val="24"/>
        </w:rPr>
        <w:t>环保板材床架：一张，2000*1000mm，用于放置智能床垫。床架稳固静音，转角处需设置保护，避免磕碰。颜色与整体环境适配。</w:t>
      </w:r>
    </w:p>
    <w:p w14:paraId="4428EF62">
      <w:pPr>
        <w:rPr>
          <w:rFonts w:hint="eastAsia" w:ascii="宋体" w:hAnsi="宋体" w:eastAsia="宋体"/>
          <w:sz w:val="24"/>
        </w:rPr>
      </w:pPr>
      <w:r>
        <w:rPr>
          <w:rFonts w:hint="eastAsia" w:ascii="宋体" w:hAnsi="宋体" w:eastAsia="宋体"/>
          <w:sz w:val="24"/>
        </w:rPr>
        <w:t>5.3 落地立式衣帽架</w:t>
      </w:r>
    </w:p>
    <w:p w14:paraId="7D516CDF">
      <w:pPr>
        <w:rPr>
          <w:rFonts w:hint="eastAsia" w:ascii="宋体" w:hAnsi="宋体" w:eastAsia="宋体"/>
          <w:sz w:val="24"/>
        </w:rPr>
      </w:pPr>
      <w:r>
        <w:rPr>
          <w:rFonts w:hint="eastAsia" w:ascii="宋体" w:hAnsi="宋体" w:eastAsia="宋体"/>
          <w:sz w:val="24"/>
        </w:rPr>
        <w:t>落地立式衣帽架：一幅，1000*400*1500mm，用于收纳智能服装。颜色与整体环境适配。</w:t>
      </w:r>
    </w:p>
    <w:p w14:paraId="1502FF74">
      <w:pPr>
        <w:rPr>
          <w:rFonts w:hint="eastAsia" w:ascii="宋体" w:hAnsi="宋体" w:eastAsia="宋体"/>
          <w:sz w:val="24"/>
        </w:rPr>
      </w:pPr>
      <w:r>
        <w:rPr>
          <w:rFonts w:hint="eastAsia" w:ascii="宋体" w:hAnsi="宋体" w:eastAsia="宋体"/>
          <w:sz w:val="24"/>
        </w:rPr>
        <w:t>6、其他电子设备</w:t>
      </w:r>
    </w:p>
    <w:p w14:paraId="136CF439">
      <w:pPr>
        <w:rPr>
          <w:rFonts w:hint="eastAsia" w:ascii="宋体" w:hAnsi="宋体" w:eastAsia="宋体"/>
          <w:sz w:val="24"/>
        </w:rPr>
      </w:pPr>
      <w:r>
        <w:rPr>
          <w:rFonts w:hint="eastAsia" w:ascii="宋体" w:hAnsi="宋体" w:eastAsia="宋体"/>
          <w:sz w:val="24"/>
        </w:rPr>
        <w:t>6.1 本地服务器电脑+液晶显示器</w:t>
      </w:r>
    </w:p>
    <w:p w14:paraId="77D08440">
      <w:pPr>
        <w:rPr>
          <w:rFonts w:hint="eastAsia" w:ascii="宋体" w:hAnsi="宋体" w:eastAsia="宋体"/>
          <w:sz w:val="24"/>
        </w:rPr>
      </w:pPr>
      <w:r>
        <w:rPr>
          <w:rFonts w:hint="eastAsia" w:ascii="宋体" w:hAnsi="宋体" w:eastAsia="宋体"/>
          <w:sz w:val="24"/>
        </w:rPr>
        <w:t xml:space="preserve">要求：CPU 4核 i3 10代以上；内存 16G；硬盘 1T；系统 </w:t>
      </w:r>
      <w:r>
        <w:rPr>
          <w:rFonts w:ascii="宋体" w:hAnsi="宋体" w:eastAsia="宋体"/>
          <w:sz w:val="24"/>
        </w:rPr>
        <w:t>CentOS-8.5.2111-x86_64-dvd1.iso</w:t>
      </w:r>
      <w:r>
        <w:rPr>
          <w:rFonts w:hint="eastAsia" w:ascii="宋体" w:hAnsi="宋体" w:eastAsia="宋体"/>
          <w:sz w:val="24"/>
        </w:rPr>
        <w:t>；放置在书桌上，预留电源与网线</w:t>
      </w:r>
    </w:p>
    <w:p w14:paraId="6AC92FFF">
      <w:pPr>
        <w:rPr>
          <w:rFonts w:hint="eastAsia" w:ascii="宋体" w:hAnsi="宋体" w:eastAsia="宋体"/>
          <w:sz w:val="24"/>
        </w:rPr>
      </w:pPr>
      <w:r>
        <w:rPr>
          <w:rFonts w:hint="eastAsia" w:ascii="宋体" w:hAnsi="宋体" w:eastAsia="宋体"/>
          <w:sz w:val="24"/>
        </w:rPr>
        <w:t>6.2 路由器</w:t>
      </w:r>
    </w:p>
    <w:p w14:paraId="7EBC3FC5">
      <w:pPr>
        <w:rPr>
          <w:rFonts w:hint="eastAsia" w:ascii="宋体" w:hAnsi="宋体" w:eastAsia="宋体"/>
          <w:sz w:val="24"/>
        </w:rPr>
      </w:pPr>
      <w:r>
        <w:rPr>
          <w:rFonts w:hint="eastAsia" w:ascii="宋体" w:hAnsi="宋体" w:eastAsia="宋体"/>
          <w:sz w:val="24"/>
        </w:rPr>
        <w:t>要求：TP-LINK品牌，双频千兆，支持WiFi6，预留电源与网线</w:t>
      </w:r>
    </w:p>
    <w:p w14:paraId="43F69981">
      <w:pPr>
        <w:rPr>
          <w:rFonts w:hint="eastAsia" w:ascii="宋体" w:hAnsi="宋体" w:eastAsia="宋体"/>
          <w:sz w:val="24"/>
        </w:rPr>
      </w:pPr>
      <w:r>
        <w:rPr>
          <w:rFonts w:hint="eastAsia" w:ascii="宋体" w:hAnsi="宋体" w:eastAsia="宋体"/>
          <w:sz w:val="24"/>
        </w:rPr>
        <w:t>6.3 智能电视</w:t>
      </w:r>
    </w:p>
    <w:p w14:paraId="68FD0C19">
      <w:pPr>
        <w:rPr>
          <w:rFonts w:hint="eastAsia" w:ascii="宋体" w:hAnsi="宋体" w:eastAsia="宋体"/>
          <w:sz w:val="24"/>
        </w:rPr>
      </w:pPr>
      <w:r>
        <w:rPr>
          <w:rFonts w:hint="eastAsia" w:ascii="宋体" w:hAnsi="宋体" w:eastAsia="宋体"/>
          <w:sz w:val="24"/>
        </w:rPr>
        <w:t>要求：55英寸，2+32G内存，支持有线/无线通讯，支持HDMI接口。例：</w:t>
      </w:r>
      <w:r>
        <w:rPr>
          <w:rFonts w:ascii="宋体" w:hAnsi="宋体" w:eastAsia="宋体"/>
          <w:sz w:val="24"/>
        </w:rPr>
        <w:t>小米 REDMI A55 2025节能版</w:t>
      </w:r>
      <w:r>
        <w:rPr>
          <w:rFonts w:hint="eastAsia" w:ascii="宋体" w:hAnsi="宋体" w:eastAsia="宋体"/>
          <w:sz w:val="24"/>
        </w:rPr>
        <w:t>。需挂墙放置，预留电源与网线</w:t>
      </w:r>
    </w:p>
    <w:p w14:paraId="4D870BAD">
      <w:pPr>
        <w:rPr>
          <w:rFonts w:hint="eastAsia" w:ascii="宋体" w:hAnsi="宋体" w:eastAsia="宋体"/>
          <w:sz w:val="24"/>
        </w:rPr>
      </w:pPr>
      <w:r>
        <w:rPr>
          <w:rFonts w:hint="eastAsia" w:ascii="宋体" w:hAnsi="宋体" w:eastAsia="宋体"/>
          <w:sz w:val="24"/>
        </w:rPr>
        <w:t>6.4 插排</w:t>
      </w:r>
    </w:p>
    <w:p w14:paraId="314E622A">
      <w:pPr>
        <w:rPr>
          <w:rFonts w:hint="eastAsia" w:ascii="宋体" w:hAnsi="宋体" w:eastAsia="宋体"/>
          <w:sz w:val="24"/>
        </w:rPr>
      </w:pPr>
      <w:r>
        <w:rPr>
          <w:rFonts w:hint="eastAsia" w:ascii="宋体" w:hAnsi="宋体" w:eastAsia="宋体"/>
          <w:sz w:val="24"/>
        </w:rPr>
        <w:t>要求：最新标准的8位插排，2米长。</w:t>
      </w:r>
    </w:p>
    <w:p w14:paraId="684E4DE9">
      <w:pPr>
        <w:rPr>
          <w:rFonts w:hint="eastAsia" w:ascii="宋体" w:hAnsi="宋体" w:eastAsia="宋体"/>
          <w:sz w:val="24"/>
        </w:rPr>
      </w:pPr>
      <w:r>
        <w:rPr>
          <w:rFonts w:hint="eastAsia" w:ascii="宋体" w:hAnsi="宋体" w:eastAsia="宋体"/>
          <w:sz w:val="24"/>
        </w:rPr>
        <w:t>三、监测与检测设备</w:t>
      </w:r>
    </w:p>
    <w:p w14:paraId="3B7E9A32">
      <w:pPr>
        <w:rPr>
          <w:rFonts w:hint="eastAsia" w:ascii="宋体" w:hAnsi="宋体" w:eastAsia="宋体"/>
          <w:sz w:val="24"/>
        </w:rPr>
      </w:pPr>
      <w:r>
        <w:rPr>
          <w:rFonts w:hint="eastAsia" w:ascii="宋体" w:hAnsi="宋体" w:eastAsia="宋体"/>
          <w:sz w:val="24"/>
        </w:rPr>
        <w:t>1、智能椅子：</w:t>
      </w:r>
      <w:r>
        <w:rPr>
          <w:rFonts w:ascii="宋体" w:hAnsi="宋体" w:eastAsia="宋体"/>
          <w:sz w:val="24"/>
        </w:rPr>
        <w:t>心率采集，高血压风险指数、精神压力分析</w:t>
      </w:r>
      <w:r>
        <w:rPr>
          <w:rFonts w:hint="eastAsia" w:ascii="宋体" w:hAnsi="宋体" w:eastAsia="宋体"/>
          <w:sz w:val="24"/>
        </w:rPr>
        <w:t>；</w:t>
      </w:r>
    </w:p>
    <w:p w14:paraId="5D1BF3FA">
      <w:pPr>
        <w:tabs>
          <w:tab w:val="left" w:pos="2538"/>
        </w:tabs>
        <w:rPr>
          <w:rFonts w:hint="eastAsia" w:ascii="宋体" w:hAnsi="宋体" w:eastAsia="宋体"/>
          <w:sz w:val="24"/>
        </w:rPr>
      </w:pPr>
      <w:r>
        <w:rPr>
          <w:rFonts w:hint="eastAsia" w:ascii="宋体" w:hAnsi="宋体" w:eastAsia="宋体"/>
          <w:sz w:val="24"/>
        </w:rPr>
        <w:t>2、智能衣服：</w:t>
      </w:r>
      <w:r>
        <w:rPr>
          <w:rFonts w:ascii="宋体" w:hAnsi="宋体" w:eastAsia="宋体"/>
          <w:sz w:val="24"/>
        </w:rPr>
        <w:t>温度、出汗量、活动状态、定位采集</w:t>
      </w:r>
      <w:r>
        <w:rPr>
          <w:rFonts w:hint="eastAsia" w:ascii="宋体" w:hAnsi="宋体" w:eastAsia="宋体"/>
          <w:sz w:val="24"/>
        </w:rPr>
        <w:t>；</w:t>
      </w:r>
    </w:p>
    <w:p w14:paraId="12F44B66">
      <w:pPr>
        <w:tabs>
          <w:tab w:val="left" w:pos="2538"/>
        </w:tabs>
        <w:rPr>
          <w:rFonts w:hint="eastAsia" w:ascii="宋体" w:hAnsi="宋体" w:eastAsia="宋体"/>
          <w:sz w:val="24"/>
        </w:rPr>
      </w:pPr>
      <w:r>
        <w:rPr>
          <w:rFonts w:hint="eastAsia" w:ascii="宋体" w:hAnsi="宋体" w:eastAsia="宋体"/>
          <w:sz w:val="24"/>
        </w:rPr>
        <w:t>3、智能床垫：</w:t>
      </w:r>
      <w:r>
        <w:rPr>
          <w:rFonts w:ascii="宋体" w:hAnsi="宋体" w:eastAsia="宋体"/>
          <w:sz w:val="24"/>
        </w:rPr>
        <w:t>心率、呼吸率、睡眠分析</w:t>
      </w:r>
      <w:r>
        <w:rPr>
          <w:rFonts w:hint="eastAsia" w:ascii="宋体" w:hAnsi="宋体" w:eastAsia="宋体"/>
          <w:sz w:val="24"/>
        </w:rPr>
        <w:t>；</w:t>
      </w:r>
    </w:p>
    <w:p w14:paraId="4A4C9041">
      <w:pPr>
        <w:tabs>
          <w:tab w:val="left" w:pos="2538"/>
        </w:tabs>
        <w:rPr>
          <w:rFonts w:hint="eastAsia" w:ascii="宋体" w:hAnsi="宋体" w:eastAsia="宋体"/>
          <w:sz w:val="24"/>
        </w:rPr>
      </w:pPr>
      <w:r>
        <w:rPr>
          <w:rFonts w:hint="eastAsia" w:ascii="宋体" w:hAnsi="宋体" w:eastAsia="宋体"/>
          <w:sz w:val="24"/>
        </w:rPr>
        <w:t>4、全息检测仪（方向盘）：</w:t>
      </w:r>
      <w:r>
        <w:rPr>
          <w:rFonts w:ascii="宋体" w:hAnsi="宋体" w:eastAsia="宋体"/>
          <w:sz w:val="24"/>
        </w:rPr>
        <w:t>心率、心电图、呼吸率采集</w:t>
      </w:r>
      <w:r>
        <w:rPr>
          <w:rFonts w:hint="eastAsia" w:ascii="宋体" w:hAnsi="宋体" w:eastAsia="宋体"/>
          <w:sz w:val="24"/>
        </w:rPr>
        <w:t>；</w:t>
      </w:r>
    </w:p>
    <w:p w14:paraId="3B432985">
      <w:pPr>
        <w:tabs>
          <w:tab w:val="left" w:pos="2538"/>
        </w:tabs>
        <w:rPr>
          <w:rFonts w:hint="eastAsia" w:ascii="宋体" w:hAnsi="宋体" w:eastAsia="宋体"/>
          <w:sz w:val="24"/>
        </w:rPr>
      </w:pPr>
      <w:r>
        <w:rPr>
          <w:rFonts w:hint="eastAsia" w:ascii="宋体" w:hAnsi="宋体" w:eastAsia="宋体"/>
          <w:sz w:val="24"/>
        </w:rPr>
        <w:t>5、定位网关：坐标；</w:t>
      </w:r>
    </w:p>
    <w:p w14:paraId="54C0E6F6">
      <w:pPr>
        <w:tabs>
          <w:tab w:val="left" w:pos="2538"/>
        </w:tabs>
        <w:rPr>
          <w:rFonts w:hint="eastAsia" w:ascii="宋体" w:hAnsi="宋体" w:eastAsia="宋体"/>
          <w:sz w:val="24"/>
        </w:rPr>
      </w:pPr>
      <w:r>
        <w:rPr>
          <w:rFonts w:hint="eastAsia" w:ascii="宋体" w:hAnsi="宋体" w:eastAsia="宋体"/>
          <w:sz w:val="24"/>
        </w:rPr>
        <w:t>6、视力筛选仪：视力参数采集。</w:t>
      </w:r>
    </w:p>
    <w:p w14:paraId="69C748FC">
      <w:pPr>
        <w:tabs>
          <w:tab w:val="left" w:pos="2538"/>
        </w:tabs>
        <w:rPr>
          <w:rFonts w:hint="eastAsia" w:ascii="宋体" w:hAnsi="宋体" w:eastAsia="宋体"/>
          <w:sz w:val="24"/>
        </w:rPr>
      </w:pPr>
      <w:r>
        <w:rPr>
          <w:rFonts w:hint="eastAsia" w:ascii="宋体" w:hAnsi="宋体" w:eastAsia="宋体"/>
          <w:sz w:val="24"/>
        </w:rPr>
        <w:t>四、硬件需求清单列表及状态</w:t>
      </w:r>
    </w:p>
    <w:p w14:paraId="6796FCD9">
      <w:pPr>
        <w:tabs>
          <w:tab w:val="left" w:pos="2538"/>
        </w:tabs>
        <w:rPr>
          <w:rFonts w:hint="default" w:ascii="宋体" w:hAnsi="宋体" w:eastAsia="宋体"/>
          <w:sz w:val="24"/>
          <w:lang w:val="en-US" w:eastAsia="zh-CN"/>
        </w:rPr>
      </w:pPr>
      <w:r>
        <w:drawing>
          <wp:anchor distT="0" distB="0" distL="114300" distR="114300" simplePos="0" relativeHeight="251659264" behindDoc="0" locked="0" layoutInCell="1" allowOverlap="1">
            <wp:simplePos x="0" y="0"/>
            <wp:positionH relativeFrom="margin">
              <wp:posOffset>-182880</wp:posOffset>
            </wp:positionH>
            <wp:positionV relativeFrom="paragraph">
              <wp:posOffset>394970</wp:posOffset>
            </wp:positionV>
            <wp:extent cx="6508750" cy="8599170"/>
            <wp:effectExtent l="0" t="0" r="13970" b="11430"/>
            <wp:wrapNone/>
            <wp:docPr id="689147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47645"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508750" cy="8599170"/>
                    </a:xfrm>
                    <a:prstGeom prst="rect">
                      <a:avLst/>
                    </a:prstGeom>
                  </pic:spPr>
                </pic:pic>
              </a:graphicData>
            </a:graphic>
          </wp:anchor>
        </w:drawing>
      </w:r>
    </w:p>
    <w:p w14:paraId="23AB49D7">
      <w:pPr>
        <w:tabs>
          <w:tab w:val="left" w:pos="2538"/>
        </w:tabs>
        <w:rPr>
          <w:rFonts w:hint="default" w:ascii="宋体" w:hAnsi="宋体" w:eastAsia="宋体"/>
          <w:sz w:val="24"/>
          <w:lang w:val="en-US" w:eastAsia="zh-CN"/>
        </w:rPr>
      </w:pPr>
    </w:p>
    <w:p w14:paraId="04BC813B">
      <w:pPr>
        <w:tabs>
          <w:tab w:val="left" w:pos="2538"/>
        </w:tabs>
        <w:rPr>
          <w:rFonts w:hint="default" w:ascii="宋体" w:hAnsi="宋体" w:eastAsia="宋体"/>
          <w:sz w:val="24"/>
          <w:lang w:val="en-US" w:eastAsia="zh-CN"/>
        </w:rPr>
      </w:pPr>
    </w:p>
    <w:p w14:paraId="22D23D44">
      <w:pPr>
        <w:tabs>
          <w:tab w:val="left" w:pos="2538"/>
        </w:tabs>
        <w:rPr>
          <w:rFonts w:hint="default" w:ascii="宋体" w:hAnsi="宋体" w:eastAsia="宋体"/>
          <w:sz w:val="24"/>
          <w:lang w:val="en-US" w:eastAsia="zh-CN"/>
        </w:rPr>
      </w:pPr>
    </w:p>
    <w:p w14:paraId="23762602">
      <w:pPr>
        <w:tabs>
          <w:tab w:val="left" w:pos="2538"/>
        </w:tabs>
        <w:rPr>
          <w:rFonts w:hint="default" w:ascii="宋体" w:hAnsi="宋体" w:eastAsia="宋体"/>
          <w:sz w:val="24"/>
          <w:lang w:val="en-US" w:eastAsia="zh-CN"/>
        </w:rPr>
      </w:pPr>
    </w:p>
    <w:p w14:paraId="4F1DD3CF">
      <w:pPr>
        <w:tabs>
          <w:tab w:val="left" w:pos="2538"/>
        </w:tabs>
        <w:rPr>
          <w:rFonts w:hint="default" w:ascii="宋体" w:hAnsi="宋体" w:eastAsia="宋体"/>
          <w:sz w:val="24"/>
          <w:lang w:val="en-US" w:eastAsia="zh-CN"/>
        </w:rPr>
      </w:pPr>
    </w:p>
    <w:p w14:paraId="14CEFB4F">
      <w:pPr>
        <w:tabs>
          <w:tab w:val="left" w:pos="2538"/>
        </w:tabs>
        <w:rPr>
          <w:rFonts w:hint="default" w:ascii="宋体" w:hAnsi="宋体" w:eastAsia="宋体"/>
          <w:sz w:val="24"/>
          <w:lang w:val="en-US" w:eastAsia="zh-CN"/>
        </w:rPr>
      </w:pPr>
    </w:p>
    <w:p w14:paraId="1EC2543B">
      <w:pPr>
        <w:tabs>
          <w:tab w:val="left" w:pos="2538"/>
        </w:tabs>
        <w:rPr>
          <w:rFonts w:hint="default" w:ascii="宋体" w:hAnsi="宋体" w:eastAsia="宋体"/>
          <w:sz w:val="24"/>
          <w:lang w:val="en-US" w:eastAsia="zh-CN"/>
        </w:rPr>
      </w:pPr>
    </w:p>
    <w:p w14:paraId="2044AD10">
      <w:pPr>
        <w:tabs>
          <w:tab w:val="left" w:pos="2538"/>
        </w:tabs>
        <w:rPr>
          <w:rFonts w:hint="default" w:ascii="宋体" w:hAnsi="宋体" w:eastAsia="宋体"/>
          <w:sz w:val="24"/>
          <w:lang w:val="en-US" w:eastAsia="zh-CN"/>
        </w:rPr>
      </w:pPr>
    </w:p>
    <w:p w14:paraId="46DA63FD">
      <w:pPr>
        <w:tabs>
          <w:tab w:val="left" w:pos="2538"/>
        </w:tabs>
        <w:rPr>
          <w:rFonts w:hint="default" w:ascii="宋体" w:hAnsi="宋体" w:eastAsia="宋体"/>
          <w:sz w:val="24"/>
          <w:lang w:val="en-US" w:eastAsia="zh-CN"/>
        </w:rPr>
      </w:pPr>
    </w:p>
    <w:p w14:paraId="3306FC10">
      <w:pPr>
        <w:tabs>
          <w:tab w:val="left" w:pos="2538"/>
        </w:tabs>
        <w:rPr>
          <w:rFonts w:hint="default" w:ascii="宋体" w:hAnsi="宋体" w:eastAsia="宋体"/>
          <w:sz w:val="24"/>
          <w:lang w:val="en-US" w:eastAsia="zh-CN"/>
        </w:rPr>
      </w:pPr>
    </w:p>
    <w:p w14:paraId="4B68654E">
      <w:pPr>
        <w:tabs>
          <w:tab w:val="left" w:pos="2538"/>
        </w:tabs>
        <w:rPr>
          <w:rFonts w:hint="default" w:ascii="宋体" w:hAnsi="宋体" w:eastAsia="宋体"/>
          <w:sz w:val="24"/>
          <w:lang w:val="en-US" w:eastAsia="zh-CN"/>
        </w:rPr>
      </w:pPr>
    </w:p>
    <w:p w14:paraId="2D913612">
      <w:pPr>
        <w:tabs>
          <w:tab w:val="left" w:pos="2538"/>
        </w:tabs>
        <w:rPr>
          <w:rFonts w:hint="default" w:ascii="宋体" w:hAnsi="宋体" w:eastAsia="宋体"/>
          <w:sz w:val="24"/>
          <w:lang w:val="en-US" w:eastAsia="zh-CN"/>
        </w:rPr>
      </w:pPr>
    </w:p>
    <w:p w14:paraId="4755C5CA">
      <w:pPr>
        <w:tabs>
          <w:tab w:val="left" w:pos="2538"/>
        </w:tabs>
        <w:rPr>
          <w:rFonts w:hint="default" w:ascii="宋体" w:hAnsi="宋体" w:eastAsia="宋体"/>
          <w:sz w:val="24"/>
          <w:lang w:val="en-US" w:eastAsia="zh-CN"/>
        </w:rPr>
      </w:pPr>
    </w:p>
    <w:p w14:paraId="60E3EE43">
      <w:pPr>
        <w:tabs>
          <w:tab w:val="left" w:pos="2538"/>
        </w:tabs>
        <w:rPr>
          <w:rFonts w:hint="default" w:ascii="宋体" w:hAnsi="宋体" w:eastAsia="宋体"/>
          <w:sz w:val="24"/>
          <w:lang w:val="en-US" w:eastAsia="zh-CN"/>
        </w:rPr>
      </w:pPr>
    </w:p>
    <w:p w14:paraId="7C435AD5">
      <w:pPr>
        <w:tabs>
          <w:tab w:val="left" w:pos="2538"/>
        </w:tabs>
        <w:rPr>
          <w:rFonts w:hint="default" w:ascii="宋体" w:hAnsi="宋体" w:eastAsia="宋体"/>
          <w:sz w:val="24"/>
          <w:lang w:val="en-US" w:eastAsia="zh-CN"/>
        </w:rPr>
      </w:pPr>
    </w:p>
    <w:p w14:paraId="1E7E666F">
      <w:pPr>
        <w:tabs>
          <w:tab w:val="left" w:pos="2538"/>
        </w:tabs>
        <w:rPr>
          <w:rFonts w:hint="default" w:ascii="宋体" w:hAnsi="宋体" w:eastAsia="宋体"/>
          <w:sz w:val="24"/>
          <w:lang w:val="en-US" w:eastAsia="zh-CN"/>
        </w:rPr>
      </w:pPr>
    </w:p>
    <w:p w14:paraId="39316972">
      <w:pPr>
        <w:tabs>
          <w:tab w:val="left" w:pos="2538"/>
        </w:tabs>
        <w:rPr>
          <w:rFonts w:hint="default" w:ascii="宋体" w:hAnsi="宋体" w:eastAsia="宋体"/>
          <w:sz w:val="24"/>
          <w:lang w:val="en-US" w:eastAsia="zh-CN"/>
        </w:rPr>
      </w:pPr>
    </w:p>
    <w:p w14:paraId="0A1AF857">
      <w:pPr>
        <w:tabs>
          <w:tab w:val="left" w:pos="2538"/>
        </w:tabs>
        <w:rPr>
          <w:rFonts w:hint="default" w:ascii="宋体" w:hAnsi="宋体" w:eastAsia="宋体"/>
          <w:sz w:val="24"/>
          <w:lang w:val="en-US" w:eastAsia="zh-CN"/>
        </w:rPr>
      </w:pPr>
    </w:p>
    <w:p w14:paraId="212BFFE6">
      <w:pPr>
        <w:tabs>
          <w:tab w:val="left" w:pos="2538"/>
        </w:tabs>
        <w:rPr>
          <w:rFonts w:hint="default" w:ascii="宋体" w:hAnsi="宋体" w:eastAsia="宋体"/>
          <w:sz w:val="24"/>
          <w:lang w:val="en-US" w:eastAsia="zh-CN"/>
        </w:rPr>
      </w:pPr>
    </w:p>
    <w:p w14:paraId="68AD8288">
      <w:pPr>
        <w:tabs>
          <w:tab w:val="left" w:pos="2538"/>
        </w:tabs>
        <w:rPr>
          <w:rFonts w:hint="default" w:ascii="宋体" w:hAnsi="宋体" w:eastAsia="宋体"/>
          <w:sz w:val="24"/>
          <w:lang w:val="en-US" w:eastAsia="zh-CN"/>
        </w:rPr>
      </w:pPr>
    </w:p>
    <w:p w14:paraId="28ED7A0D">
      <w:pPr>
        <w:tabs>
          <w:tab w:val="left" w:pos="2538"/>
        </w:tabs>
        <w:rPr>
          <w:rFonts w:hint="default" w:ascii="宋体" w:hAnsi="宋体" w:eastAsia="宋体"/>
          <w:sz w:val="24"/>
          <w:lang w:val="en-US" w:eastAsia="zh-CN"/>
        </w:rPr>
      </w:pPr>
    </w:p>
    <w:p w14:paraId="5DF89AFE">
      <w:pPr>
        <w:tabs>
          <w:tab w:val="left" w:pos="2538"/>
        </w:tabs>
        <w:rPr>
          <w:rFonts w:hint="default" w:ascii="宋体" w:hAnsi="宋体" w:eastAsia="宋体"/>
          <w:sz w:val="24"/>
          <w:lang w:val="en-US" w:eastAsia="zh-CN"/>
        </w:rPr>
      </w:pPr>
    </w:p>
    <w:p w14:paraId="3AD9F525">
      <w:pPr>
        <w:tabs>
          <w:tab w:val="left" w:pos="2538"/>
        </w:tabs>
        <w:rPr>
          <w:rFonts w:hint="default" w:ascii="宋体" w:hAnsi="宋体" w:eastAsia="宋体"/>
          <w:sz w:val="24"/>
          <w:lang w:val="en-US" w:eastAsia="zh-CN"/>
        </w:rPr>
      </w:pPr>
    </w:p>
    <w:p w14:paraId="13F610DD">
      <w:pPr>
        <w:tabs>
          <w:tab w:val="left" w:pos="2538"/>
        </w:tabs>
        <w:rPr>
          <w:rFonts w:hint="default" w:ascii="宋体" w:hAnsi="宋体" w:eastAsia="宋体"/>
          <w:sz w:val="24"/>
          <w:lang w:val="en-US" w:eastAsia="zh-CN"/>
        </w:rPr>
      </w:pPr>
    </w:p>
    <w:p w14:paraId="02FF494F">
      <w:pPr>
        <w:tabs>
          <w:tab w:val="left" w:pos="2538"/>
        </w:tabs>
        <w:rPr>
          <w:rFonts w:hint="default" w:ascii="宋体" w:hAnsi="宋体" w:eastAsia="宋体"/>
          <w:sz w:val="24"/>
          <w:lang w:val="en-US" w:eastAsia="zh-CN"/>
        </w:rPr>
      </w:pPr>
    </w:p>
    <w:p w14:paraId="6A657763">
      <w:pPr>
        <w:tabs>
          <w:tab w:val="left" w:pos="2538"/>
        </w:tabs>
        <w:rPr>
          <w:rFonts w:hint="default" w:ascii="宋体" w:hAnsi="宋体" w:eastAsia="宋体"/>
          <w:sz w:val="24"/>
          <w:lang w:val="en-US" w:eastAsia="zh-CN"/>
        </w:rPr>
      </w:pPr>
    </w:p>
    <w:p w14:paraId="6544981A">
      <w:pPr>
        <w:tabs>
          <w:tab w:val="left" w:pos="2538"/>
        </w:tabs>
        <w:rPr>
          <w:rFonts w:hint="default" w:ascii="宋体" w:hAnsi="宋体" w:eastAsia="宋体"/>
          <w:sz w:val="24"/>
          <w:lang w:val="en-US" w:eastAsia="zh-CN"/>
        </w:rPr>
      </w:pPr>
    </w:p>
    <w:p w14:paraId="445E5F8A">
      <w:pPr>
        <w:tabs>
          <w:tab w:val="left" w:pos="2538"/>
        </w:tabs>
        <w:rPr>
          <w:rFonts w:hint="default" w:ascii="宋体" w:hAnsi="宋体" w:eastAsia="宋体"/>
          <w:sz w:val="24"/>
          <w:lang w:val="en-US" w:eastAsia="zh-CN"/>
        </w:rPr>
      </w:pPr>
    </w:p>
    <w:p w14:paraId="5F18FF09">
      <w:pPr>
        <w:tabs>
          <w:tab w:val="left" w:pos="2538"/>
        </w:tabs>
        <w:rPr>
          <w:rFonts w:hint="default" w:ascii="宋体" w:hAnsi="宋体" w:eastAsia="宋体"/>
          <w:sz w:val="24"/>
          <w:lang w:val="en-US" w:eastAsia="zh-CN"/>
        </w:rPr>
      </w:pPr>
    </w:p>
    <w:p w14:paraId="56C07D95">
      <w:pPr>
        <w:tabs>
          <w:tab w:val="left" w:pos="2538"/>
        </w:tabs>
        <w:rPr>
          <w:rFonts w:hint="default" w:ascii="宋体" w:hAnsi="宋体" w:eastAsia="宋体"/>
          <w:sz w:val="24"/>
          <w:lang w:val="en-US" w:eastAsia="zh-CN"/>
        </w:rPr>
      </w:pPr>
    </w:p>
    <w:p w14:paraId="3215C5D7">
      <w:pPr>
        <w:tabs>
          <w:tab w:val="left" w:pos="2538"/>
        </w:tabs>
        <w:rPr>
          <w:rFonts w:hint="default" w:ascii="宋体" w:hAnsi="宋体" w:eastAsia="宋体"/>
          <w:sz w:val="24"/>
          <w:lang w:val="en-US" w:eastAsia="zh-CN"/>
        </w:rPr>
      </w:pPr>
    </w:p>
    <w:p w14:paraId="0BA25905">
      <w:pPr>
        <w:tabs>
          <w:tab w:val="left" w:pos="2538"/>
        </w:tabs>
        <w:rPr>
          <w:rFonts w:hint="default" w:ascii="宋体" w:hAnsi="宋体" w:eastAsia="宋体"/>
          <w:sz w:val="24"/>
          <w:lang w:val="en-US" w:eastAsia="zh-CN"/>
        </w:rPr>
      </w:pPr>
    </w:p>
    <w:p w14:paraId="7AFA8B00">
      <w:pPr>
        <w:tabs>
          <w:tab w:val="left" w:pos="2538"/>
        </w:tabs>
        <w:rPr>
          <w:rFonts w:hint="default" w:ascii="宋体" w:hAnsi="宋体" w:eastAsia="宋体"/>
          <w:sz w:val="24"/>
          <w:lang w:val="en-US" w:eastAsia="zh-CN"/>
        </w:rPr>
      </w:pPr>
    </w:p>
    <w:p w14:paraId="0B3C0B08">
      <w:pPr>
        <w:tabs>
          <w:tab w:val="left" w:pos="2538"/>
        </w:tabs>
        <w:rPr>
          <w:rFonts w:hint="default" w:ascii="宋体" w:hAnsi="宋体" w:eastAsia="宋体"/>
          <w:sz w:val="24"/>
          <w:lang w:val="en-US" w:eastAsia="zh-CN"/>
        </w:rPr>
      </w:pPr>
    </w:p>
    <w:p w14:paraId="44B2E967">
      <w:pPr>
        <w:tabs>
          <w:tab w:val="left" w:pos="2538"/>
        </w:tabs>
        <w:rPr>
          <w:rFonts w:hint="default" w:ascii="宋体" w:hAnsi="宋体" w:eastAsia="宋体"/>
          <w:sz w:val="24"/>
          <w:lang w:val="en-US" w:eastAsia="zh-CN"/>
        </w:rPr>
      </w:pPr>
    </w:p>
    <w:p w14:paraId="06985748">
      <w:pPr>
        <w:tabs>
          <w:tab w:val="left" w:pos="2538"/>
        </w:tabs>
        <w:rPr>
          <w:rFonts w:hint="default" w:ascii="宋体" w:hAnsi="宋体" w:eastAsia="宋体"/>
          <w:sz w:val="24"/>
          <w:lang w:val="en-US" w:eastAsia="zh-CN"/>
        </w:rPr>
      </w:pPr>
    </w:p>
    <w:p w14:paraId="0938DF7A">
      <w:pPr>
        <w:tabs>
          <w:tab w:val="left" w:pos="2538"/>
        </w:tabs>
        <w:rPr>
          <w:rFonts w:hint="default" w:ascii="宋体" w:hAnsi="宋体" w:eastAsia="宋体"/>
          <w:sz w:val="24"/>
          <w:lang w:val="en-US" w:eastAsia="zh-CN"/>
        </w:rPr>
      </w:pPr>
    </w:p>
    <w:p w14:paraId="3FB66A29">
      <w:pPr>
        <w:tabs>
          <w:tab w:val="left" w:pos="2538"/>
        </w:tabs>
        <w:rPr>
          <w:rFonts w:hint="default" w:ascii="宋体" w:hAnsi="宋体" w:eastAsia="宋体"/>
          <w:sz w:val="24"/>
          <w:lang w:val="en-US" w:eastAsia="zh-CN"/>
        </w:rPr>
      </w:pPr>
    </w:p>
    <w:p w14:paraId="54BA914F">
      <w:pPr>
        <w:tabs>
          <w:tab w:val="left" w:pos="2538"/>
        </w:tabs>
        <w:rPr>
          <w:rFonts w:hint="default" w:ascii="宋体" w:hAnsi="宋体" w:eastAsia="宋体"/>
          <w:sz w:val="24"/>
          <w:lang w:val="en-US" w:eastAsia="zh-CN"/>
        </w:rPr>
      </w:pPr>
    </w:p>
    <w:p w14:paraId="53975BBC">
      <w:pPr>
        <w:tabs>
          <w:tab w:val="left" w:pos="2538"/>
        </w:tabs>
        <w:rPr>
          <w:rFonts w:hint="default" w:ascii="宋体" w:hAnsi="宋体" w:eastAsia="宋体"/>
          <w:sz w:val="24"/>
          <w:lang w:val="en-US" w:eastAsia="zh-CN"/>
        </w:rPr>
      </w:pPr>
    </w:p>
    <w:p w14:paraId="516E57D5">
      <w:pPr>
        <w:tabs>
          <w:tab w:val="left" w:pos="2538"/>
        </w:tabs>
        <w:rPr>
          <w:rFonts w:hint="default" w:ascii="宋体" w:hAnsi="宋体" w:eastAsia="宋体"/>
          <w:sz w:val="24"/>
          <w:lang w:val="en-US" w:eastAsia="zh-CN"/>
        </w:rPr>
      </w:pPr>
    </w:p>
    <w:p w14:paraId="087E2108">
      <w:pPr>
        <w:tabs>
          <w:tab w:val="left" w:pos="2538"/>
        </w:tabs>
        <w:rPr>
          <w:rFonts w:hint="default" w:ascii="宋体" w:hAnsi="宋体" w:eastAsia="宋体"/>
          <w:sz w:val="24"/>
          <w:lang w:val="en-US" w:eastAsia="zh-CN"/>
        </w:rPr>
      </w:pPr>
    </w:p>
    <w:p w14:paraId="12B233EE">
      <w:pPr>
        <w:tabs>
          <w:tab w:val="left" w:pos="2538"/>
        </w:tabs>
        <w:rPr>
          <w:rFonts w:hint="default" w:ascii="宋体" w:hAnsi="宋体" w:eastAsia="宋体"/>
          <w:sz w:val="24"/>
          <w:lang w:val="en-US" w:eastAsia="zh-CN"/>
        </w:rPr>
      </w:pPr>
    </w:p>
    <w:p w14:paraId="59C717DD">
      <w:pPr>
        <w:tabs>
          <w:tab w:val="left" w:pos="2538"/>
        </w:tabs>
        <w:rPr>
          <w:rFonts w:hint="default" w:ascii="宋体" w:hAnsi="宋体" w:eastAsia="宋体"/>
          <w:sz w:val="24"/>
          <w:lang w:val="en-US" w:eastAsia="zh-CN"/>
        </w:rPr>
      </w:pPr>
    </w:p>
    <w:p w14:paraId="602A4F31">
      <w:pPr>
        <w:tabs>
          <w:tab w:val="left" w:pos="2538"/>
        </w:tabs>
        <w:rPr>
          <w:rFonts w:hint="default" w:ascii="宋体" w:hAnsi="宋体" w:eastAsia="宋体"/>
          <w:sz w:val="24"/>
          <w:lang w:val="en-US" w:eastAsia="zh-CN"/>
        </w:rPr>
      </w:pPr>
    </w:p>
    <w:p w14:paraId="515F6759">
      <w:pPr>
        <w:tabs>
          <w:tab w:val="left" w:pos="2538"/>
        </w:tabs>
        <w:rPr>
          <w:rFonts w:hint="default" w:ascii="宋体" w:hAnsi="宋体" w:eastAsia="宋体"/>
          <w:sz w:val="24"/>
          <w:lang w:val="en-US" w:eastAsia="zh-CN"/>
        </w:rPr>
      </w:pPr>
    </w:p>
    <w:p w14:paraId="2EC1788F">
      <w:pPr>
        <w:tabs>
          <w:tab w:val="left" w:pos="2538"/>
        </w:tabs>
        <w:rPr>
          <w:rFonts w:hint="default" w:ascii="宋体" w:hAnsi="宋体" w:eastAsia="宋体"/>
          <w:sz w:val="24"/>
          <w:lang w:val="en-US" w:eastAsia="zh-CN"/>
        </w:rPr>
      </w:pPr>
    </w:p>
    <w:p w14:paraId="6B19F18A">
      <w:pPr>
        <w:tabs>
          <w:tab w:val="left" w:pos="2538"/>
        </w:tabs>
        <w:rPr>
          <w:rFonts w:hint="eastAsia" w:ascii="宋体" w:hAnsi="宋体" w:eastAsia="宋体"/>
          <w:sz w:val="24"/>
          <w:lang w:val="en-US" w:eastAsia="zh-CN"/>
        </w:rPr>
      </w:pPr>
      <w:r>
        <w:rPr>
          <w:rFonts w:hint="eastAsia" w:ascii="宋体" w:hAnsi="宋体" w:eastAsia="宋体"/>
          <w:sz w:val="24"/>
          <w:lang w:val="en-US" w:eastAsia="zh-CN"/>
        </w:rPr>
        <w:t>附件4</w:t>
      </w:r>
    </w:p>
    <w:p w14:paraId="198A864A">
      <w:pPr>
        <w:numPr>
          <w:ilvl w:val="0"/>
          <w:numId w:val="0"/>
        </w:numPr>
        <w:jc w:val="center"/>
        <w:rPr>
          <w:rFonts w:hint="eastAsia"/>
          <w:lang w:val="en-US" w:eastAsia="zh-CN"/>
        </w:rPr>
      </w:pPr>
      <w:r>
        <w:rPr>
          <w:rFonts w:hint="eastAsia"/>
          <w:sz w:val="32"/>
          <w:szCs w:val="32"/>
          <w:lang w:val="en-US" w:eastAsia="zh-CN"/>
        </w:rPr>
        <w:t>中国眼产业基地 一楼改造设计草案2</w:t>
      </w:r>
    </w:p>
    <w:p w14:paraId="14A4F44B">
      <w:pPr>
        <w:numPr>
          <w:ilvl w:val="0"/>
          <w:numId w:val="5"/>
        </w:numPr>
        <w:jc w:val="left"/>
        <w:rPr>
          <w:rFonts w:hint="eastAsia"/>
          <w:lang w:val="en-US" w:eastAsia="zh-CN"/>
        </w:rPr>
      </w:pPr>
      <w:r>
        <w:rPr>
          <w:rFonts w:hint="eastAsia"/>
          <w:lang w:val="en-US" w:eastAsia="zh-CN"/>
        </w:rPr>
        <w:t>区域一 ：现有实际图</w:t>
      </w:r>
    </w:p>
    <w:p w14:paraId="3F13E137">
      <w:pPr>
        <w:widowControl w:val="0"/>
        <w:numPr>
          <w:ilvl w:val="0"/>
          <w:numId w:val="0"/>
        </w:numPr>
        <w:jc w:val="left"/>
        <w:rPr>
          <w:rFonts w:hint="eastAsia"/>
          <w:lang w:val="en-US" w:eastAsia="zh-CN"/>
        </w:rPr>
      </w:pPr>
      <w:r>
        <w:rPr>
          <w:rFonts w:ascii="宋体" w:hAnsi="宋体" w:eastAsia="宋体" w:cs="宋体"/>
          <w:sz w:val="24"/>
          <w:szCs w:val="24"/>
        </w:rPr>
        <w:drawing>
          <wp:inline distT="0" distB="0" distL="114300" distR="114300">
            <wp:extent cx="5465445" cy="2611120"/>
            <wp:effectExtent l="0" t="0" r="5715" b="1016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6"/>
                    <a:srcRect t="19450" b="22846"/>
                    <a:stretch>
                      <a:fillRect/>
                    </a:stretch>
                  </pic:blipFill>
                  <pic:spPr>
                    <a:xfrm>
                      <a:off x="0" y="0"/>
                      <a:ext cx="5465445" cy="2611120"/>
                    </a:xfrm>
                    <a:prstGeom prst="rect">
                      <a:avLst/>
                    </a:prstGeom>
                    <a:noFill/>
                    <a:ln w="9525">
                      <a:noFill/>
                    </a:ln>
                  </pic:spPr>
                </pic:pic>
              </a:graphicData>
            </a:graphic>
          </wp:inline>
        </w:drawing>
      </w:r>
    </w:p>
    <w:p w14:paraId="2E7296D1">
      <w:pPr>
        <w:widowControl w:val="0"/>
        <w:numPr>
          <w:ilvl w:val="0"/>
          <w:numId w:val="0"/>
        </w:numPr>
        <w:jc w:val="left"/>
        <w:rPr>
          <w:rFonts w:hint="eastAsia"/>
          <w:lang w:val="en-US" w:eastAsia="zh-CN"/>
        </w:rPr>
      </w:pPr>
    </w:p>
    <w:p w14:paraId="79FCE99F">
      <w:pPr>
        <w:numPr>
          <w:ilvl w:val="0"/>
          <w:numId w:val="0"/>
        </w:numPr>
        <w:jc w:val="left"/>
      </w:pPr>
      <w:r>
        <w:rPr>
          <w:rFonts w:hint="eastAsia"/>
          <w:lang w:val="en-US" w:eastAsia="zh-CN"/>
        </w:rPr>
        <w:t>区域一：参考设计图</w:t>
      </w:r>
    </w:p>
    <w:p w14:paraId="0DA51604">
      <w:pPr>
        <w:numPr>
          <w:ilvl w:val="0"/>
          <w:numId w:val="0"/>
        </w:numPr>
        <w:jc w:val="left"/>
        <w:rPr>
          <w:rFonts w:hint="eastAsia" w:eastAsia="宋体"/>
          <w:lang w:eastAsia="zh-CN"/>
        </w:rPr>
      </w:pPr>
      <w:r>
        <w:rPr>
          <w:rFonts w:hint="eastAsia" w:eastAsia="宋体"/>
          <w:lang w:eastAsia="zh-CN"/>
        </w:rPr>
        <w:drawing>
          <wp:inline distT="0" distB="0" distL="114300" distR="114300">
            <wp:extent cx="5255260" cy="3503930"/>
            <wp:effectExtent l="0" t="0" r="2540" b="1270"/>
            <wp:docPr id="2" name="图片 2" descr="生成图片：绿色部分去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成图片：绿色部分去掉"/>
                    <pic:cNvPicPr>
                      <a:picLocks noChangeAspect="1"/>
                    </pic:cNvPicPr>
                  </pic:nvPicPr>
                  <pic:blipFill>
                    <a:blip r:embed="rId7"/>
                    <a:stretch>
                      <a:fillRect/>
                    </a:stretch>
                  </pic:blipFill>
                  <pic:spPr>
                    <a:xfrm>
                      <a:off x="0" y="0"/>
                      <a:ext cx="5255260" cy="3503930"/>
                    </a:xfrm>
                    <a:prstGeom prst="rect">
                      <a:avLst/>
                    </a:prstGeom>
                  </pic:spPr>
                </pic:pic>
              </a:graphicData>
            </a:graphic>
          </wp:inline>
        </w:drawing>
      </w:r>
    </w:p>
    <w:p w14:paraId="75E0357E">
      <w:pPr>
        <w:numPr>
          <w:ilvl w:val="0"/>
          <w:numId w:val="0"/>
        </w:numPr>
        <w:jc w:val="left"/>
        <w:rPr>
          <w:rFonts w:hint="eastAsia"/>
          <w:lang w:val="en-US" w:eastAsia="zh-CN"/>
        </w:rPr>
      </w:pPr>
    </w:p>
    <w:p w14:paraId="64C3BE43">
      <w:pPr>
        <w:numPr>
          <w:ilvl w:val="0"/>
          <w:numId w:val="0"/>
        </w:numPr>
        <w:jc w:val="left"/>
        <w:rPr>
          <w:rFonts w:hint="eastAsia"/>
          <w:lang w:val="en-US" w:eastAsia="zh-CN"/>
        </w:rPr>
      </w:pPr>
      <w:r>
        <w:rPr>
          <w:rFonts w:hint="eastAsia"/>
          <w:lang w:val="en-US" w:eastAsia="zh-CN"/>
        </w:rPr>
        <w:t>设计需求：</w:t>
      </w:r>
    </w:p>
    <w:p w14:paraId="23D5B947">
      <w:pPr>
        <w:numPr>
          <w:ilvl w:val="0"/>
          <w:numId w:val="0"/>
        </w:numPr>
        <w:jc w:val="left"/>
        <w:rPr>
          <w:rFonts w:hint="default"/>
          <w:lang w:val="en-US" w:eastAsia="zh-CN"/>
        </w:rPr>
      </w:pPr>
    </w:p>
    <w:p w14:paraId="2FCE6605">
      <w:pPr>
        <w:numPr>
          <w:ilvl w:val="0"/>
          <w:numId w:val="0"/>
        </w:numPr>
        <w:pBdr>
          <w:bottom w:val="single" w:color="auto" w:sz="4" w:space="0"/>
        </w:pBdr>
        <w:jc w:val="left"/>
        <w:rPr>
          <w:rFonts w:hint="eastAsia"/>
          <w:lang w:val="en-US" w:eastAsia="zh-CN"/>
        </w:rPr>
      </w:pPr>
      <w:r>
        <w:rPr>
          <w:rFonts w:hint="eastAsia"/>
          <w:lang w:val="en-US" w:eastAsia="zh-CN"/>
        </w:rPr>
        <w:t>科技高端，色调简洁，材质有质感，玻璃镂空透明，光线适合拍照合影。底部台可放置仿真绿植不限于苔藓，造景石头，蓝色或绿色玻璃等仿真河流，台子可曲线棱角边缘光滑。</w:t>
      </w:r>
    </w:p>
    <w:p w14:paraId="3895DFB3">
      <w:pPr>
        <w:numPr>
          <w:ilvl w:val="0"/>
          <w:numId w:val="0"/>
        </w:numPr>
        <w:jc w:val="left"/>
        <w:rPr>
          <w:rFonts w:hint="default"/>
          <w:lang w:val="en-US" w:eastAsia="zh-CN"/>
        </w:rPr>
      </w:pPr>
    </w:p>
    <w:p w14:paraId="23C21F31">
      <w:pPr>
        <w:numPr>
          <w:ilvl w:val="0"/>
          <w:numId w:val="0"/>
        </w:numPr>
        <w:jc w:val="left"/>
        <w:rPr>
          <w:rFonts w:hint="default"/>
          <w:lang w:val="en-US" w:eastAsia="zh-CN"/>
        </w:rPr>
      </w:pPr>
      <w:r>
        <w:rPr>
          <w:rFonts w:hint="eastAsia"/>
          <w:lang w:val="en-US" w:eastAsia="zh-CN"/>
        </w:rPr>
        <w:t>区域二：</w:t>
      </w:r>
    </w:p>
    <w:p w14:paraId="1F5EE4F4">
      <w:pPr>
        <w:numPr>
          <w:ilvl w:val="0"/>
          <w:numId w:val="0"/>
        </w:numPr>
        <w:jc w:val="left"/>
        <w:rPr>
          <w:rFonts w:ascii="宋体" w:hAnsi="宋体" w:eastAsia="宋体" w:cs="宋体"/>
          <w:sz w:val="24"/>
          <w:szCs w:val="24"/>
        </w:rPr>
      </w:pPr>
      <w:r>
        <w:rPr>
          <w:rFonts w:ascii="宋体" w:hAnsi="宋体" w:eastAsia="宋体" w:cs="宋体"/>
          <w:sz w:val="24"/>
          <w:szCs w:val="24"/>
        </w:rPr>
        <w:drawing>
          <wp:inline distT="0" distB="0" distL="114300" distR="114300">
            <wp:extent cx="5225415" cy="4326255"/>
            <wp:effectExtent l="0" t="0" r="1905" b="190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8"/>
                    <a:stretch>
                      <a:fillRect/>
                    </a:stretch>
                  </pic:blipFill>
                  <pic:spPr>
                    <a:xfrm>
                      <a:off x="0" y="0"/>
                      <a:ext cx="5225415" cy="4326255"/>
                    </a:xfrm>
                    <a:prstGeom prst="rect">
                      <a:avLst/>
                    </a:prstGeom>
                    <a:noFill/>
                    <a:ln w="9525">
                      <a:noFill/>
                    </a:ln>
                  </pic:spPr>
                </pic:pic>
              </a:graphicData>
            </a:graphic>
          </wp:inline>
        </w:drawing>
      </w:r>
    </w:p>
    <w:p w14:paraId="55A8A147">
      <w:pPr>
        <w:numPr>
          <w:ilvl w:val="0"/>
          <w:numId w:val="0"/>
        </w:numPr>
        <w:jc w:val="left"/>
        <w:rPr>
          <w:rFonts w:hint="eastAsia" w:ascii="宋体" w:hAnsi="宋体" w:cs="宋体"/>
          <w:sz w:val="24"/>
          <w:szCs w:val="24"/>
          <w:lang w:val="en-US" w:eastAsia="zh-CN"/>
        </w:rPr>
      </w:pPr>
      <w:r>
        <w:rPr>
          <w:rFonts w:hint="eastAsia" w:ascii="宋体" w:hAnsi="宋体" w:cs="宋体"/>
          <w:sz w:val="24"/>
          <w:szCs w:val="24"/>
          <w:lang w:val="en-US" w:eastAsia="zh-CN"/>
        </w:rPr>
        <w:t>区域三：参考图</w:t>
      </w:r>
    </w:p>
    <w:p w14:paraId="1176E897">
      <w:pPr>
        <w:numPr>
          <w:ilvl w:val="0"/>
          <w:numId w:val="0"/>
        </w:numPr>
        <w:jc w:val="left"/>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5260340" cy="2949575"/>
            <wp:effectExtent l="0" t="0" r="12700" b="6985"/>
            <wp:docPr id="3" name="图片 3" descr="生成图片：绿色部分去掉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成图片：绿色部分去掉 (3)"/>
                    <pic:cNvPicPr>
                      <a:picLocks noChangeAspect="1"/>
                    </pic:cNvPicPr>
                  </pic:nvPicPr>
                  <pic:blipFill>
                    <a:blip r:embed="rId9"/>
                    <a:stretch>
                      <a:fillRect/>
                    </a:stretch>
                  </pic:blipFill>
                  <pic:spPr>
                    <a:xfrm>
                      <a:off x="0" y="0"/>
                      <a:ext cx="5260340" cy="2949575"/>
                    </a:xfrm>
                    <a:prstGeom prst="rect">
                      <a:avLst/>
                    </a:prstGeom>
                  </pic:spPr>
                </pic:pic>
              </a:graphicData>
            </a:graphic>
          </wp:inline>
        </w:drawing>
      </w:r>
    </w:p>
    <w:p w14:paraId="10CED26B">
      <w:pPr>
        <w:numPr>
          <w:ilvl w:val="0"/>
          <w:numId w:val="0"/>
        </w:numPr>
        <w:jc w:val="left"/>
        <w:rPr>
          <w:rFonts w:hint="eastAsia" w:ascii="宋体" w:hAnsi="宋体" w:cs="宋体"/>
          <w:sz w:val="24"/>
          <w:szCs w:val="24"/>
          <w:lang w:val="en-US" w:eastAsia="zh-CN"/>
        </w:rPr>
      </w:pPr>
    </w:p>
    <w:p w14:paraId="75CCB990">
      <w:pPr>
        <w:numPr>
          <w:ilvl w:val="0"/>
          <w:numId w:val="0"/>
        </w:numPr>
        <w:jc w:val="left"/>
        <w:rPr>
          <w:rFonts w:hint="default" w:ascii="宋体" w:hAnsi="宋体" w:cs="宋体"/>
          <w:sz w:val="24"/>
          <w:szCs w:val="24"/>
          <w:lang w:val="en-US" w:eastAsia="zh-CN"/>
        </w:rPr>
      </w:pPr>
      <w:r>
        <w:rPr>
          <w:rFonts w:hint="eastAsia" w:ascii="宋体" w:hAnsi="宋体" w:cs="宋体"/>
          <w:sz w:val="24"/>
          <w:szCs w:val="24"/>
          <w:lang w:val="en-US" w:eastAsia="zh-CN"/>
        </w:rPr>
        <w:t>设计要求：大屏展示区→荣誉资质陈列区→成品样品展示区</w:t>
      </w:r>
    </w:p>
    <w:p w14:paraId="69FCE970">
      <w:pPr>
        <w:tabs>
          <w:tab w:val="left" w:pos="2538"/>
        </w:tabs>
        <w:rPr>
          <w:rFonts w:hint="default" w:ascii="宋体" w:hAnsi="宋体" w:eastAsia="宋体"/>
          <w:sz w:val="24"/>
          <w:lang w:val="en-US" w:eastAsia="zh-CN"/>
        </w:rPr>
      </w:pPr>
    </w:p>
    <w:sectPr>
      <w:pgSz w:w="11906" w:h="16838"/>
      <w:pgMar w:top="1020" w:right="866" w:bottom="898" w:left="9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7F04AE"/>
    <w:multiLevelType w:val="multilevel"/>
    <w:tmpl w:val="2E7F04A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35AFD53B"/>
    <w:multiLevelType w:val="singleLevel"/>
    <w:tmpl w:val="35AFD53B"/>
    <w:lvl w:ilvl="0" w:tentative="0">
      <w:start w:val="1"/>
      <w:numFmt w:val="decimal"/>
      <w:lvlText w:val="%1."/>
      <w:lvlJc w:val="left"/>
      <w:pPr>
        <w:tabs>
          <w:tab w:val="left" w:pos="312"/>
        </w:tabs>
      </w:pPr>
    </w:lvl>
  </w:abstractNum>
  <w:abstractNum w:abstractNumId="2">
    <w:nsid w:val="3C01229E"/>
    <w:multiLevelType w:val="multilevel"/>
    <w:tmpl w:val="3C01229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43B46185"/>
    <w:multiLevelType w:val="singleLevel"/>
    <w:tmpl w:val="43B46185"/>
    <w:lvl w:ilvl="0" w:tentative="0">
      <w:start w:val="1"/>
      <w:numFmt w:val="decimal"/>
      <w:suff w:val="nothing"/>
      <w:lvlText w:val="%1、"/>
      <w:lvlJc w:val="left"/>
    </w:lvl>
  </w:abstractNum>
  <w:abstractNum w:abstractNumId="4">
    <w:nsid w:val="61697FA8"/>
    <w:multiLevelType w:val="singleLevel"/>
    <w:tmpl w:val="61697FA8"/>
    <w:lvl w:ilvl="0" w:tentative="0">
      <w:start w:val="1"/>
      <w:numFmt w:val="chineseCounting"/>
      <w:suff w:val="nothing"/>
      <w:lvlText w:val="%1、"/>
      <w:lvlJc w:val="left"/>
      <w:pPr>
        <w:ind w:left="0" w:firstLine="420"/>
      </w:pPr>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B80"/>
    <w:rsid w:val="001C7B80"/>
    <w:rsid w:val="003910B2"/>
    <w:rsid w:val="005310CC"/>
    <w:rsid w:val="008762A1"/>
    <w:rsid w:val="00C4328D"/>
    <w:rsid w:val="00D6493E"/>
    <w:rsid w:val="00E9372A"/>
    <w:rsid w:val="00FA4B19"/>
    <w:rsid w:val="02BA5D3C"/>
    <w:rsid w:val="02BC7D06"/>
    <w:rsid w:val="03215DBB"/>
    <w:rsid w:val="047A6C9C"/>
    <w:rsid w:val="05E7509A"/>
    <w:rsid w:val="07D16002"/>
    <w:rsid w:val="07E85286"/>
    <w:rsid w:val="0878022B"/>
    <w:rsid w:val="08CC4A1B"/>
    <w:rsid w:val="08E74FE5"/>
    <w:rsid w:val="0CC7352F"/>
    <w:rsid w:val="117479FE"/>
    <w:rsid w:val="12725EB2"/>
    <w:rsid w:val="147624F8"/>
    <w:rsid w:val="16D50F3F"/>
    <w:rsid w:val="19297320"/>
    <w:rsid w:val="196B58F7"/>
    <w:rsid w:val="2000702C"/>
    <w:rsid w:val="211F2412"/>
    <w:rsid w:val="2193477D"/>
    <w:rsid w:val="22804172"/>
    <w:rsid w:val="23270D74"/>
    <w:rsid w:val="23384D2F"/>
    <w:rsid w:val="2452597D"/>
    <w:rsid w:val="26C105C1"/>
    <w:rsid w:val="2A5E1F40"/>
    <w:rsid w:val="2AD510B6"/>
    <w:rsid w:val="2D4349FC"/>
    <w:rsid w:val="2DE122B7"/>
    <w:rsid w:val="2F48454C"/>
    <w:rsid w:val="2F666452"/>
    <w:rsid w:val="2F7A18D3"/>
    <w:rsid w:val="2FE9188B"/>
    <w:rsid w:val="341C1977"/>
    <w:rsid w:val="34264D7C"/>
    <w:rsid w:val="34346D68"/>
    <w:rsid w:val="344A6670"/>
    <w:rsid w:val="34931F07"/>
    <w:rsid w:val="37E36DBF"/>
    <w:rsid w:val="382E2B53"/>
    <w:rsid w:val="383E029A"/>
    <w:rsid w:val="38C70631"/>
    <w:rsid w:val="3A706705"/>
    <w:rsid w:val="3C3D6ABB"/>
    <w:rsid w:val="3C97266F"/>
    <w:rsid w:val="3CE45647"/>
    <w:rsid w:val="3CF74AE3"/>
    <w:rsid w:val="3FFB4CC3"/>
    <w:rsid w:val="402A3E6D"/>
    <w:rsid w:val="4047076F"/>
    <w:rsid w:val="40D21D95"/>
    <w:rsid w:val="41943621"/>
    <w:rsid w:val="425132C0"/>
    <w:rsid w:val="4283791D"/>
    <w:rsid w:val="45905269"/>
    <w:rsid w:val="46804174"/>
    <w:rsid w:val="46E464B1"/>
    <w:rsid w:val="471728F8"/>
    <w:rsid w:val="47C00CCC"/>
    <w:rsid w:val="493F68AC"/>
    <w:rsid w:val="4AFE72FD"/>
    <w:rsid w:val="51F108BD"/>
    <w:rsid w:val="544E58B1"/>
    <w:rsid w:val="55801A9A"/>
    <w:rsid w:val="5C433822"/>
    <w:rsid w:val="607A2A40"/>
    <w:rsid w:val="6165268A"/>
    <w:rsid w:val="648B446D"/>
    <w:rsid w:val="65DF1BFD"/>
    <w:rsid w:val="6A0507F1"/>
    <w:rsid w:val="6B712159"/>
    <w:rsid w:val="6D631F76"/>
    <w:rsid w:val="6DED034C"/>
    <w:rsid w:val="6DF37C67"/>
    <w:rsid w:val="70051916"/>
    <w:rsid w:val="734F4A68"/>
    <w:rsid w:val="77CD6139"/>
    <w:rsid w:val="78300CA6"/>
    <w:rsid w:val="7AD95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Strong"/>
    <w:basedOn w:val="4"/>
    <w:qFormat/>
    <w:uiPriority w:val="22"/>
    <w:rPr>
      <w:b/>
      <w:bCs/>
    </w:rPr>
  </w:style>
  <w:style w:type="paragraph" w:customStyle="1" w:styleId="6">
    <w:name w:val="ds-markdown-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7">
    <w:name w:val="List Paragraph"/>
    <w:basedOn w:val="1"/>
    <w:qFormat/>
    <w:uiPriority w:val="34"/>
    <w:pPr>
      <w:ind w:firstLine="420" w:firstLineChars="200"/>
    </w:pPr>
  </w:style>
  <w:style w:type="paragraph" w:customStyle="1" w:styleId="8">
    <w:name w:val="首行缩进"/>
    <w:basedOn w:val="1"/>
    <w:qFormat/>
    <w:uiPriority w:val="0"/>
    <w:pPr>
      <w:spacing w:line="360" w:lineRule="auto"/>
      <w:ind w:firstLine="480" w:firstLineChars="200"/>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18</Pages>
  <Words>9209</Words>
  <Characters>9899</Characters>
  <Lines>10</Lines>
  <Paragraphs>2</Paragraphs>
  <TotalTime>6</TotalTime>
  <ScaleCrop>false</ScaleCrop>
  <LinksUpToDate>false</LinksUpToDate>
  <CharactersWithSpaces>10197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2025-12-24T05:19:00Z</dcterms:created>
  <dc:creator>China</dc:creator>
  <cp:lastModifiedBy>银河绘日</cp:lastModifiedBy>
  <dcterms:modified xsi:type="dcterms:W3CDTF">2026-06-26T06:21:21Z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eyJoZGlkIjoiNGZiZjJkYWIwMjA5MzQ5YmVlZGZlMzU2MzM5NTYzMzMiLCJ1c2VySWQiOiIzMjU3OTYxMjAifQ==</vt:lpwstr>
  </property>
  <property fmtid="{D5CDD505-2E9C-101B-9397-08002B2CF9AE}" pid="3" name="KSOProductBuildVer">
    <vt:lpwstr>2052-12.1.0.26375</vt:lpwstr>
  </property>
  <property fmtid="{D5CDD505-2E9C-101B-9397-08002B2CF9AE}" pid="4" name="ICV">
    <vt:lpwstr>CF6953399EBE412EAC8A8D55DA792600_13</vt:lpwstr>
  </property>
</Properties>
</file>