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FD2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辽宁何氏医学院</w:t>
      </w:r>
    </w:p>
    <w:p w14:paraId="5FC63DFB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新建食堂箱变电力外网及配套工程设计</w:t>
      </w:r>
    </w:p>
    <w:p w14:paraId="6AF5D590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询比价文件</w:t>
      </w:r>
    </w:p>
    <w:p w14:paraId="1EF41752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工程名称：辽宁何氏医学院新建食堂箱变电力外网及配套工程</w:t>
      </w:r>
    </w:p>
    <w:p w14:paraId="498CEA8F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工程地址：沈阳市浑南区泗水街66号</w:t>
      </w:r>
    </w:p>
    <w:p w14:paraId="34FAFBD0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一、工程概况：为满足食堂供电需求，新建一路630kva供电，包括不限于电力外线、新建箱式变压器（保安电力）及低压进户及配电室内配电柜的设计与施工；</w:t>
      </w:r>
    </w:p>
    <w:p w14:paraId="2E4B2D9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二、设计工期：15天，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包括方案调整，其中设计时间为7天，其余为调整时间；</w:t>
      </w: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具体开始时间以建设方指令为准。节假日不顺延。</w:t>
      </w:r>
    </w:p>
    <w:p w14:paraId="35C768A3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三、设计条件：</w:t>
      </w:r>
    </w:p>
    <w:p w14:paraId="4A38DF61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1、依据建筑电气设计要求，满足食堂用电电负荷。</w:t>
      </w:r>
    </w:p>
    <w:p w14:paraId="2E9A4699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2、电气设计参数由建筑电气设计人员提供；</w:t>
      </w:r>
    </w:p>
    <w:p w14:paraId="30580CD2">
      <w:pPr>
        <w:spacing w:line="240" w:lineRule="auto"/>
        <w:rPr>
          <w:rFonts w:hint="default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3、电业局提供的《高压供电方案答复单》，详见附件1</w:t>
      </w:r>
    </w:p>
    <w:p w14:paraId="23970D0C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四、设计范围：</w:t>
      </w:r>
      <w:bookmarkStart w:id="0" w:name="_GoBack"/>
      <w:bookmarkEnd w:id="0"/>
    </w:p>
    <w:p w14:paraId="0D91D15F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1、电力管网设计：市政接驳点至变电所；（包括棋上线10#开闭站——新π开闭站二次接驳），箱式箱变基础及主体设计；箱变至食堂内低压配电室设计及保安电力配置；</w:t>
      </w:r>
    </w:p>
    <w:p w14:paraId="0B052A1F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2、市政网接驳点暂定为；先临时接驳棋上线10#开闭站，待电业局建成新π开闭站后，棋上线10#开闭站——新π开闭站二次接驳；</w:t>
      </w:r>
    </w:p>
    <w:p w14:paraId="2D6C7078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3、设备选用：按满足设计规范、现场情况及甲方使用需求精简设计；</w:t>
      </w:r>
    </w:p>
    <w:p w14:paraId="32E89D4D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4、具体方案见附件，电业局提供的供电方案。因暂未建新π开闭站，电业同意先暂在棋上线10#开闭站接驳，待新建完成后，院方二次接驳；</w:t>
      </w:r>
    </w:p>
    <w:p w14:paraId="6FA0B2E0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要求：</w:t>
      </w:r>
    </w:p>
    <w:p w14:paraId="76B46807">
      <w:pPr>
        <w:numPr>
          <w:ilvl w:val="0"/>
          <w:numId w:val="7"/>
        </w:num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具备高压及低压电力设计资质的设计单位。</w:t>
      </w:r>
    </w:p>
    <w:p w14:paraId="089B997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2、需要现场勘察并和电业局、基建科、食堂科对接相应的路径及需求</w:t>
      </w:r>
    </w:p>
    <w:p w14:paraId="3B730B66">
      <w:pPr>
        <w:spacing w:line="240" w:lineRule="auto"/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3、需根据建设单位提供的资料进行方案设计及图纸设计。</w:t>
      </w:r>
    </w:p>
    <w:p w14:paraId="63CFF10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设计院出具图纸方案并经电业及建设单位审核通过，再出具施工蓝图（8份）后，支付至设计合同金额的70%；配合电力外网施工单位竣工验收合格后，支付合同金额的30%。</w:t>
      </w:r>
    </w:p>
    <w:p w14:paraId="36DFC3B6">
      <w:pPr>
        <w:spacing w:line="240" w:lineRule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4880DAB8">
      <w:pPr>
        <w:spacing w:line="240" w:lineRule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3AB3EC45">
      <w:pPr>
        <w:spacing w:line="240" w:lineRule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</w:p>
    <w:p w14:paraId="269FEA3D">
      <w:pPr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（二）报价一览表</w:t>
      </w:r>
    </w:p>
    <w:tbl>
      <w:tblPr>
        <w:tblStyle w:val="35"/>
        <w:tblW w:w="0" w:type="auto"/>
        <w:tblInd w:w="-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"/>
        <w:gridCol w:w="4168"/>
        <w:gridCol w:w="3585"/>
        <w:gridCol w:w="3048"/>
      </w:tblGrid>
      <w:tr w14:paraId="71076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882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DABF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  <w:t>项目名称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CD71C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  <w:t>含税包干总价（元）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906EB"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  <w:t>服务期</w:t>
            </w:r>
          </w:p>
        </w:tc>
      </w:tr>
      <w:tr w14:paraId="3641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1867" w:hRule="atLeast"/>
        </w:trPr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5F30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970C08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辽宁何氏医学院新建食堂箱变电力外网及配套工程设计</w:t>
            </w:r>
          </w:p>
          <w:p w14:paraId="3B575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22C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  <w:t>大写：</w:t>
            </w:r>
          </w:p>
          <w:p w14:paraId="145294C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  <w:t>小写：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B51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  <w:t>合同签订开始至工程竣工结束</w:t>
            </w:r>
          </w:p>
        </w:tc>
      </w:tr>
      <w:tr w14:paraId="37A3D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874" w:hRule="atLeast"/>
        </w:trPr>
        <w:tc>
          <w:tcPr>
            <w:tcW w:w="10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B0BE5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 w:bidi="ar"/>
              </w:rPr>
              <w:t>报价单位（盖章）：</w:t>
            </w:r>
          </w:p>
        </w:tc>
      </w:tr>
      <w:tr w14:paraId="0C4A5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trHeight w:val="901" w:hRule="atLeast"/>
        </w:trPr>
        <w:tc>
          <w:tcPr>
            <w:tcW w:w="10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7671E">
            <w:pPr>
              <w:widowControl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lang w:val="en-US" w:eastAsia="zh-CN" w:bidi="ar"/>
              </w:rPr>
              <w:t xml:space="preserve">联系人：                 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联系方式：</w:t>
            </w:r>
          </w:p>
        </w:tc>
      </w:tr>
      <w:tr w14:paraId="454E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0812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391E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包干价格（除因政策性因素造成的税金调整外），包含但不限于方案设计、施工图纸设计、出具施工蓝图（8份）、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图纸审查费、施工期间重大现场变更深化、竣工图编制、电业局评审专家费（如有），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配合建设单位提交需设计院提供的资料、配合电力外网施工单位验收所需设计院提供的相关资料。</w:t>
            </w:r>
          </w:p>
        </w:tc>
      </w:tr>
    </w:tbl>
    <w:p w14:paraId="3D4AF991">
      <w:pPr>
        <w:spacing w:line="240" w:lineRule="auto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green"/>
          <w:lang w:val="en-US" w:eastAsia="zh-CN"/>
        </w:rPr>
      </w:pPr>
    </w:p>
    <w:p w14:paraId="252074DF">
      <w:pPr>
        <w:spacing w:line="240" w:lineRule="auto"/>
        <w:jc w:val="right"/>
        <w:rPr>
          <w:rFonts w:hint="eastAsia" w:ascii="宋体" w:hAnsi="宋体" w:eastAsia="宋体" w:cs="宋体"/>
          <w:color w:val="auto"/>
          <w:sz w:val="22"/>
          <w:szCs w:val="22"/>
        </w:rPr>
      </w:pPr>
    </w:p>
    <w:sectPr>
      <w:footerReference r:id="rId5" w:type="default"/>
      <w:pgSz w:w="12240" w:h="15840"/>
      <w:pgMar w:top="780" w:right="540" w:bottom="760" w:left="920" w:header="720" w:footer="397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677BC">
    <w:pPr>
      <w:pStyle w:val="26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1ADA6">
                          <w:pPr>
                            <w:pStyle w:val="26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1ADA6">
                    <w:pPr>
                      <w:pStyle w:val="26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892C9"/>
    <w:multiLevelType w:val="singleLevel"/>
    <w:tmpl w:val="A2B892C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85730E"/>
    <w:rsid w:val="032F04D8"/>
    <w:rsid w:val="046968D7"/>
    <w:rsid w:val="0DDA04B0"/>
    <w:rsid w:val="0ED175CE"/>
    <w:rsid w:val="11C6025A"/>
    <w:rsid w:val="12CC7AF2"/>
    <w:rsid w:val="12DE7825"/>
    <w:rsid w:val="137D2B9A"/>
    <w:rsid w:val="15127AB3"/>
    <w:rsid w:val="1A815D2D"/>
    <w:rsid w:val="1A9E60BD"/>
    <w:rsid w:val="1F972C71"/>
    <w:rsid w:val="210270BC"/>
    <w:rsid w:val="22EF1B25"/>
    <w:rsid w:val="2E1C2EB0"/>
    <w:rsid w:val="31CC4FC0"/>
    <w:rsid w:val="37685905"/>
    <w:rsid w:val="38027AD9"/>
    <w:rsid w:val="394536F4"/>
    <w:rsid w:val="3A6571F9"/>
    <w:rsid w:val="3C3605B2"/>
    <w:rsid w:val="3E907376"/>
    <w:rsid w:val="48096FCC"/>
    <w:rsid w:val="4A8731DA"/>
    <w:rsid w:val="4C7107E7"/>
    <w:rsid w:val="4ECD06A3"/>
    <w:rsid w:val="50EE73C8"/>
    <w:rsid w:val="592B747B"/>
    <w:rsid w:val="59BD4483"/>
    <w:rsid w:val="5F4B136B"/>
    <w:rsid w:val="63B012B1"/>
    <w:rsid w:val="65402FF4"/>
    <w:rsid w:val="656F7435"/>
    <w:rsid w:val="6B1B3A43"/>
    <w:rsid w:val="6CE626D3"/>
    <w:rsid w:val="6F0301A9"/>
    <w:rsid w:val="726F09D5"/>
    <w:rsid w:val="73F12317"/>
    <w:rsid w:val="76EA7241"/>
    <w:rsid w:val="781223C7"/>
    <w:rsid w:val="7B000E04"/>
    <w:rsid w:val="7D851A94"/>
    <w:rsid w:val="7D9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link w:val="1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5">
    <w:name w:val="heading 2"/>
    <w:basedOn w:val="1"/>
    <w:next w:val="1"/>
    <w:link w:val="1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6">
    <w:name w:val="heading 3"/>
    <w:basedOn w:val="1"/>
    <w:next w:val="1"/>
    <w:link w:val="1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4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9">
    <w:name w:val="heading 6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0">
    <w:name w:val="heading 7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8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2">
    <w:name w:val="heading 9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5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left="720"/>
      <w:contextualSpacing/>
    </w:pPr>
  </w:style>
  <w:style w:type="paragraph" w:styleId="3">
    <w:name w:val="macro"/>
    <w:link w:val="1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4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7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8">
    <w:name w:val="Body Text 3"/>
    <w:basedOn w:val="1"/>
    <w:link w:val="149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47"/>
    <w:unhideWhenUsed/>
    <w:qFormat/>
    <w:uiPriority w:val="99"/>
    <w:pPr>
      <w:spacing w:after="120"/>
    </w:pPr>
  </w:style>
  <w:style w:type="paragraph" w:styleId="21">
    <w:name w:val="Body Text Indent"/>
    <w:basedOn w:val="1"/>
    <w:qFormat/>
    <w:uiPriority w:val="0"/>
    <w:pPr>
      <w:ind w:firstLine="570"/>
    </w:pPr>
    <w:rPr>
      <w:sz w:val="28"/>
      <w:szCs w:val="20"/>
    </w:rPr>
  </w:style>
  <w:style w:type="paragraph" w:styleId="22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3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4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5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6">
    <w:name w:val="footer"/>
    <w:basedOn w:val="1"/>
    <w:link w:val="1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head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Subtitle"/>
    <w:basedOn w:val="1"/>
    <w:next w:val="1"/>
    <w:link w:val="1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2"/>
    <w:basedOn w:val="1"/>
    <w:link w:val="148"/>
    <w:unhideWhenUsed/>
    <w:qFormat/>
    <w:uiPriority w:val="99"/>
    <w:pPr>
      <w:spacing w:after="120" w:line="480" w:lineRule="auto"/>
    </w:p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3">
    <w:name w:val="Title"/>
    <w:basedOn w:val="1"/>
    <w:next w:val="1"/>
    <w:link w:val="1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34">
    <w:name w:val="Body Text First Indent 2"/>
    <w:basedOn w:val="21"/>
    <w:qFormat/>
    <w:uiPriority w:val="0"/>
    <w:pPr>
      <w:ind w:firstLine="420" w:firstLineChars="200"/>
    </w:pPr>
  </w:style>
  <w:style w:type="table" w:styleId="36">
    <w:name w:val="Table Grid"/>
    <w:basedOn w:val="3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D79A" w:themeFill="background1" w:themeFillShade="D8"/>
      </w:tcPr>
    </w:tblStylePr>
    <w:tblStylePr w:type="band1Horz">
      <w:tblPr/>
      <w:tcPr>
        <w:shd w:val="clear" w:color="auto" w:fill="A1D79A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CEEACA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CEEAC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35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94">
    <w:name w:val="Medium Grid 2 Accent 1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95">
    <w:name w:val="Medium Grid 2 Accent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96">
    <w:name w:val="Medium Grid 2 Accent 3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97">
    <w:name w:val="Medium Grid 2 Accent 4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98">
    <w:name w:val="Medium Grid 2 Accent 5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99">
    <w:name w:val="Medium Grid 2 Accent 6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CEEACA" w:themeFill="background1"/>
      </w:tcPr>
    </w:tblStylePr>
  </w:style>
  <w:style w:type="table" w:styleId="100">
    <w:name w:val="Medium Grid 3"/>
    <w:basedOn w:val="35"/>
    <w:qFormat/>
    <w:uiPriority w:val="69"/>
    <w:pPr>
      <w:spacing w:after="0" w:line="240" w:lineRule="auto"/>
    </w:pPr>
    <w:tblPr>
      <w:tblBorders>
        <w:top w:val="single" w:color="CEEACA" w:themeColor="background1" w:sz="8" w:space="0"/>
        <w:left w:val="single" w:color="CEEACA" w:themeColor="background1" w:sz="8" w:space="0"/>
        <w:bottom w:val="single" w:color="CEEACA" w:themeColor="background1" w:sz="8" w:space="0"/>
        <w:right w:val="single" w:color="CEEACA" w:themeColor="background1" w:sz="8" w:space="0"/>
        <w:insideH w:val="single" w:color="CEEACA" w:themeColor="background1" w:sz="6" w:space="0"/>
        <w:insideV w:val="single" w:color="CEEACA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24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24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EEACA" w:themeColor="background1" w:sz="8" w:space="0"/>
          <w:right w:val="single" w:color="CEEACA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EEACA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qFormat/>
    <w:uiPriority w:val="69"/>
    <w:pPr>
      <w:spacing w:after="0" w:line="240" w:lineRule="auto"/>
    </w:pPr>
    <w:tblPr>
      <w:tblBorders>
        <w:top w:val="single" w:color="CEEACA" w:themeColor="background1" w:sz="8" w:space="0"/>
        <w:left w:val="single" w:color="CEEACA" w:themeColor="background1" w:sz="8" w:space="0"/>
        <w:bottom w:val="single" w:color="CEEACA" w:themeColor="background1" w:sz="8" w:space="0"/>
        <w:right w:val="single" w:color="CEEACA" w:themeColor="background1" w:sz="8" w:space="0"/>
        <w:insideH w:val="single" w:color="CEEACA" w:themeColor="background1" w:sz="6" w:space="0"/>
        <w:insideV w:val="single" w:color="CEEACA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24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24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EEACA" w:themeColor="background1" w:sz="8" w:space="0"/>
          <w:right w:val="single" w:color="CEEACA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EEACA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qFormat/>
    <w:uiPriority w:val="69"/>
    <w:pPr>
      <w:spacing w:after="0" w:line="240" w:lineRule="auto"/>
    </w:pPr>
    <w:tblPr>
      <w:tblBorders>
        <w:top w:val="single" w:color="CEEACA" w:themeColor="background1" w:sz="8" w:space="0"/>
        <w:left w:val="single" w:color="CEEACA" w:themeColor="background1" w:sz="8" w:space="0"/>
        <w:bottom w:val="single" w:color="CEEACA" w:themeColor="background1" w:sz="8" w:space="0"/>
        <w:right w:val="single" w:color="CEEACA" w:themeColor="background1" w:sz="8" w:space="0"/>
        <w:insideH w:val="single" w:color="CEEACA" w:themeColor="background1" w:sz="6" w:space="0"/>
        <w:insideV w:val="single" w:color="CEEACA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24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24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EEACA" w:themeColor="background1" w:sz="8" w:space="0"/>
          <w:right w:val="single" w:color="CEEACA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EEACA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qFormat/>
    <w:uiPriority w:val="69"/>
    <w:pPr>
      <w:spacing w:after="0" w:line="240" w:lineRule="auto"/>
    </w:pPr>
    <w:tblPr>
      <w:tblBorders>
        <w:top w:val="single" w:color="CEEACA" w:themeColor="background1" w:sz="8" w:space="0"/>
        <w:left w:val="single" w:color="CEEACA" w:themeColor="background1" w:sz="8" w:space="0"/>
        <w:bottom w:val="single" w:color="CEEACA" w:themeColor="background1" w:sz="8" w:space="0"/>
        <w:right w:val="single" w:color="CEEACA" w:themeColor="background1" w:sz="8" w:space="0"/>
        <w:insideH w:val="single" w:color="CEEACA" w:themeColor="background1" w:sz="6" w:space="0"/>
        <w:insideV w:val="single" w:color="CEEACA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24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24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EEACA" w:themeColor="background1" w:sz="8" w:space="0"/>
          <w:right w:val="single" w:color="CEEACA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EEACA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qFormat/>
    <w:uiPriority w:val="69"/>
    <w:pPr>
      <w:spacing w:after="0" w:line="240" w:lineRule="auto"/>
    </w:pPr>
    <w:tblPr>
      <w:tblBorders>
        <w:top w:val="single" w:color="CEEACA" w:themeColor="background1" w:sz="8" w:space="0"/>
        <w:left w:val="single" w:color="CEEACA" w:themeColor="background1" w:sz="8" w:space="0"/>
        <w:bottom w:val="single" w:color="CEEACA" w:themeColor="background1" w:sz="8" w:space="0"/>
        <w:right w:val="single" w:color="CEEACA" w:themeColor="background1" w:sz="8" w:space="0"/>
        <w:insideH w:val="single" w:color="CEEACA" w:themeColor="background1" w:sz="6" w:space="0"/>
        <w:insideV w:val="single" w:color="CEEACA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24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24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EEACA" w:themeColor="background1" w:sz="8" w:space="0"/>
          <w:right w:val="single" w:color="CEEACA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EEACA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qFormat/>
    <w:uiPriority w:val="69"/>
    <w:pPr>
      <w:spacing w:after="0" w:line="240" w:lineRule="auto"/>
    </w:pPr>
    <w:tblPr>
      <w:tblBorders>
        <w:top w:val="single" w:color="CEEACA" w:themeColor="background1" w:sz="8" w:space="0"/>
        <w:left w:val="single" w:color="CEEACA" w:themeColor="background1" w:sz="8" w:space="0"/>
        <w:bottom w:val="single" w:color="CEEACA" w:themeColor="background1" w:sz="8" w:space="0"/>
        <w:right w:val="single" w:color="CEEACA" w:themeColor="background1" w:sz="8" w:space="0"/>
        <w:insideH w:val="single" w:color="CEEACA" w:themeColor="background1" w:sz="6" w:space="0"/>
        <w:insideV w:val="single" w:color="CEEACA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24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24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EEACA" w:themeColor="background1" w:sz="8" w:space="0"/>
          <w:right w:val="single" w:color="CEEACA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EEACA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pPr>
      <w:spacing w:after="0" w:line="240" w:lineRule="auto"/>
    </w:pPr>
    <w:tblPr>
      <w:tblBorders>
        <w:top w:val="single" w:color="CEEACA" w:themeColor="background1" w:sz="8" w:space="0"/>
        <w:left w:val="single" w:color="CEEACA" w:themeColor="background1" w:sz="8" w:space="0"/>
        <w:bottom w:val="single" w:color="CEEACA" w:themeColor="background1" w:sz="8" w:space="0"/>
        <w:right w:val="single" w:color="CEEACA" w:themeColor="background1" w:sz="8" w:space="0"/>
        <w:insideH w:val="single" w:color="CEEACA" w:themeColor="background1" w:sz="6" w:space="0"/>
        <w:insideV w:val="single" w:color="CEEACA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24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24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CEEACA" w:themeColor="background1" w:sz="8" w:space="0"/>
          <w:right w:val="single" w:color="CEEACA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CEEACA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CEEACA" w:themeColor="background1" w:sz="8" w:space="0"/>
          <w:left w:val="single" w:color="CEEACA" w:themeColor="background1" w:sz="8" w:space="0"/>
          <w:bottom w:val="single" w:color="CEEACA" w:themeColor="background1" w:sz="8" w:space="0"/>
          <w:right w:val="single" w:color="CEEACA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qFormat/>
    <w:uiPriority w:val="70"/>
    <w:pPr>
      <w:spacing w:after="0" w:line="240" w:lineRule="auto"/>
    </w:pPr>
    <w:rPr>
      <w:color w:val="CEEACA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CEEACA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EEACA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EEACA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CEEACA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qFormat/>
    <w:uiPriority w:val="70"/>
    <w:pPr>
      <w:spacing w:after="0" w:line="240" w:lineRule="auto"/>
    </w:pPr>
    <w:rPr>
      <w:color w:val="CEEACA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CEEACA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EEACA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EEACA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CEEACA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qFormat/>
    <w:uiPriority w:val="70"/>
    <w:pPr>
      <w:spacing w:after="0" w:line="240" w:lineRule="auto"/>
    </w:pPr>
    <w:rPr>
      <w:color w:val="CEEACA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CEEACA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EEACA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EEACA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CEEACA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qFormat/>
    <w:uiPriority w:val="70"/>
    <w:pPr>
      <w:spacing w:after="0" w:line="240" w:lineRule="auto"/>
    </w:pPr>
    <w:rPr>
      <w:color w:val="CEEACA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CEEACA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EEACA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EEACA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CEEACA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qFormat/>
    <w:uiPriority w:val="70"/>
    <w:pPr>
      <w:spacing w:after="0" w:line="240" w:lineRule="auto"/>
    </w:pPr>
    <w:rPr>
      <w:color w:val="CEEACA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CEEACA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EEACA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EEACA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CEEACA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qFormat/>
    <w:uiPriority w:val="70"/>
    <w:pPr>
      <w:spacing w:after="0" w:line="240" w:lineRule="auto"/>
    </w:pPr>
    <w:rPr>
      <w:color w:val="CEEACA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CEEACA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EEACA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EEACA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CEEACA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qFormat/>
    <w:uiPriority w:val="70"/>
    <w:pPr>
      <w:spacing w:after="0" w:line="240" w:lineRule="auto"/>
    </w:pPr>
    <w:rPr>
      <w:color w:val="CEEACA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CEEACA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CEEACA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CEEACA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CEEACA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CEEACA" w:themeColor="background1" w:sz="4" w:space="0"/>
        <w:insideV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CEEACA" w:themeColor="background1" w:sz="4" w:space="0"/>
        <w:insideV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EEACA" w:themeColor="background1" w:sz="4" w:space="0"/>
        <w:insideV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CEEACA" w:themeColor="background1" w:sz="4" w:space="0"/>
        <w:insideV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CEEACA" w:themeColor="background1" w:sz="4" w:space="0"/>
        <w:insideV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CEEACA" w:themeColor="background1" w:sz="4" w:space="0"/>
        <w:insideV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CEEACA" w:themeColor="background1" w:sz="4" w:space="0"/>
        <w:insideV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CEEACA" w:themeFill="background1"/>
      </w:tcPr>
    </w:tblStylePr>
    <w:tblStylePr w:type="la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EACA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EEACA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EEACA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EEACA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EEACA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EEACA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EEACA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CEEACA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CEEACA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CEEAC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CEEACA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CEEACA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6">
    <w:name w:val="Strong"/>
    <w:basedOn w:val="135"/>
    <w:qFormat/>
    <w:uiPriority w:val="22"/>
    <w:rPr>
      <w:b/>
      <w:bCs/>
    </w:rPr>
  </w:style>
  <w:style w:type="character" w:styleId="137">
    <w:name w:val="Emphasis"/>
    <w:basedOn w:val="135"/>
    <w:qFormat/>
    <w:uiPriority w:val="20"/>
    <w:rPr>
      <w:i/>
      <w:iCs/>
    </w:rPr>
  </w:style>
  <w:style w:type="character" w:styleId="138">
    <w:name w:val="Hyperlink"/>
    <w:basedOn w:val="135"/>
    <w:qFormat/>
    <w:uiPriority w:val="0"/>
    <w:rPr>
      <w:color w:val="0000FF"/>
      <w:u w:val="single"/>
    </w:rPr>
  </w:style>
  <w:style w:type="character" w:customStyle="1" w:styleId="139">
    <w:name w:val="Header Char"/>
    <w:basedOn w:val="135"/>
    <w:link w:val="27"/>
    <w:qFormat/>
    <w:uiPriority w:val="99"/>
  </w:style>
  <w:style w:type="character" w:customStyle="1" w:styleId="140">
    <w:name w:val="Footer Char"/>
    <w:basedOn w:val="135"/>
    <w:link w:val="26"/>
    <w:qFormat/>
    <w:uiPriority w:val="99"/>
  </w:style>
  <w:style w:type="paragraph" w:styleId="1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2">
    <w:name w:val="Heading 1 Char"/>
    <w:basedOn w:val="135"/>
    <w:link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3">
    <w:name w:val="Heading 2 Char"/>
    <w:basedOn w:val="135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4">
    <w:name w:val="Heading 3 Char"/>
    <w:basedOn w:val="135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5">
    <w:name w:val="Title Char"/>
    <w:basedOn w:val="135"/>
    <w:link w:val="3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6">
    <w:name w:val="Subtitle Char"/>
    <w:basedOn w:val="135"/>
    <w:link w:val="2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47">
    <w:name w:val="Body Text Char"/>
    <w:basedOn w:val="135"/>
    <w:link w:val="20"/>
    <w:qFormat/>
    <w:uiPriority w:val="99"/>
  </w:style>
  <w:style w:type="character" w:customStyle="1" w:styleId="148">
    <w:name w:val="Body Text 2 Char"/>
    <w:basedOn w:val="135"/>
    <w:link w:val="30"/>
    <w:qFormat/>
    <w:uiPriority w:val="99"/>
  </w:style>
  <w:style w:type="character" w:customStyle="1" w:styleId="149">
    <w:name w:val="Body Text 3 Char"/>
    <w:basedOn w:val="135"/>
    <w:link w:val="18"/>
    <w:qFormat/>
    <w:uiPriority w:val="99"/>
    <w:rPr>
      <w:sz w:val="16"/>
      <w:szCs w:val="16"/>
    </w:rPr>
  </w:style>
  <w:style w:type="character" w:customStyle="1" w:styleId="150">
    <w:name w:val="Macro Text Char"/>
    <w:basedOn w:val="135"/>
    <w:link w:val="3"/>
    <w:qFormat/>
    <w:uiPriority w:val="99"/>
    <w:rPr>
      <w:rFonts w:ascii="Courier" w:hAnsi="Courier"/>
      <w:sz w:val="20"/>
      <w:szCs w:val="20"/>
    </w:rPr>
  </w:style>
  <w:style w:type="paragraph" w:styleId="151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Quote Char"/>
    <w:basedOn w:val="135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Heading 4 Char"/>
    <w:basedOn w:val="135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Heading 5 Char"/>
    <w:basedOn w:val="135"/>
    <w:link w:val="8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Heading 6 Char"/>
    <w:basedOn w:val="135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6">
    <w:name w:val="Heading 7 Char"/>
    <w:basedOn w:val="135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Heading 8 Char"/>
    <w:basedOn w:val="135"/>
    <w:link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8">
    <w:name w:val="Heading 9 Char"/>
    <w:basedOn w:val="135"/>
    <w:link w:val="12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9">
    <w:name w:val="Intense Quote"/>
    <w:basedOn w:val="1"/>
    <w:next w:val="1"/>
    <w:link w:val="1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Intense Quote Char"/>
    <w:basedOn w:val="135"/>
    <w:link w:val="1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Emphasis"/>
    <w:basedOn w:val="13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Intense Emphasis"/>
    <w:basedOn w:val="135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Subtle Reference"/>
    <w:basedOn w:val="135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4">
    <w:name w:val="Intense Reference"/>
    <w:basedOn w:val="135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5">
    <w:name w:val="Book Title"/>
    <w:basedOn w:val="135"/>
    <w:qFormat/>
    <w:uiPriority w:val="33"/>
    <w:rPr>
      <w:b/>
      <w:bCs/>
      <w:smallCaps/>
      <w:spacing w:val="5"/>
    </w:rPr>
  </w:style>
  <w:style w:type="paragraph" w:customStyle="1" w:styleId="166">
    <w:name w:val="TOC Heading"/>
    <w:basedOn w:val="4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890</Characters>
  <Lines>0</Lines>
  <Paragraphs>0</Paragraphs>
  <TotalTime>5</TotalTime>
  <ScaleCrop>false</ScaleCrop>
  <LinksUpToDate>false</LinksUpToDate>
  <CharactersWithSpaces>912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付志鹏</cp:lastModifiedBy>
  <dcterms:modified xsi:type="dcterms:W3CDTF">2026-07-11T23:33:43Z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{"Label":"1","ContentProducer":"001191440300708461136T1IVWN","ProduceID":"cab0062653e7d8b7d232511af606f876-iowfhjfw4b6f3nrqgotagbpkwj4tfegtdwzqn3w4","ReservedCode1":"{\"Type\":\" TC260PG\",\"Version\":1,\"Bindings\":[{\"Type\":\"soft\",\"AlgID\":\"sm3\",\"Value\":\"603fac1270efd31c8f1ef8dc85dbd2a2f8ce313a80f0e3ebe1e4b2ded242139b\"},{\"Type\":\"hash\",\"AlgID\":\"sm3\",\"Value\":\"f6b6cfc3720aaf443c975fab429893d5f2cc10157efd8d6f87772922bee9527a\"}],\"PubSD\":[{\"Type\":\"DS\",\"AlgID\":\"sm2\",\"TBSData\":{\"Type\":\"Binding\",\"BType\":\"hash\"},\"Signature\":\"304502204cac2dec19ed04a496d7bf32370c53d20ab9f511edadd1042dc98b1e70c6033d022100cf9a3ea00ed3122e5ccaac3bd61355f2b68c7da0fdecb1c5498a62faeb8732af\"},{\"Type\":\"PubKey\",\"AlgID\":\"sm2\",\"KeyValue\":\"0407f79b28a17a752b3aae4305c98b48978213832729a2571850b1310b2bc9fe8fee039ccf25ebfeac27502414d9fcef792d777183c98893d226171c2f7a3289a2\"}],\"Extension\":{\"Timestamp\":1775538706,\"KeyVersion\":\"v1-Owd2uMESYLo311\"}}","ContentPropagator":"001191440300708461136T1IVWN","PropagateID":"cab0062653e7d8b7d232511af606f876-iowfhjfw4b6f3nrqgotagbpkwj4tfegtdwzqn3w4","ReservedCode2":"{\"Type\":\" TC260PG\",\"Version\":1,\"Bindings\":[{\"Type\":\"soft\",\"AlgID\":\"sm3\",\"Value\":\"603fac1270efd31c8f1ef8dc85dbd2a2f8ce313a80f0e3ebe1e4b2ded242139b\"},{\"Type\":\"hash\",\"AlgID\":\"sm3\",\"Value\":\"f6b6cfc3720aaf443c975fab429893d5f2cc10157efd8d6f87772922bee9527a\"}],\"PubSD\":[{\"Type\":\"DS\",\"AlgID\":\"sm2\",\"TBSData\":{\"Type\":\"Binding\",\"BType\":\"hash\"},\"Signature\":\"304502205c7f63d788a4979be557c4ccade3d1d286171a8238756dccd6641818e9de6ef2022100b08324c3712c2c0c9146d98cd15a33f934e593d7c7ae53711823f58cf0fbb98d\"},{\"Type\":\"PubKey\",\"AlgID\":\"sm2\",\"KeyValue\":\"0407f79b28a17a752b3aae4305c98b48978213832729a2571850b1310b2bc9fe8fee039ccf25ebfeac27502414d9fcef792d777183c98893d226171c2f7a3289a2\"}],\"Extension\":{\"Timestamp\":1775538706,\"KeyVersion\":\"v1-Owd2uMESYLo311\"}}"}</vt:lpwstr>
  </property>
  <property fmtid="{D5CDD505-2E9C-101B-9397-08002B2CF9AE}" pid="3" name="KSOTemplateDocerSaveRecord">
    <vt:lpwstr>eyJoZGlkIjoiNjUyMzc0YTM1MDJlY2MxYjdmN2U2YWQyMTc4MDY4NzIiLCJ1c2VySWQiOiIxMTUwNDMyMDMyIn0=</vt:lpwstr>
  </property>
  <property fmtid="{D5CDD505-2E9C-101B-9397-08002B2CF9AE}" pid="4" name="KSOProductBuildVer">
    <vt:lpwstr>2052-12.1.0.26895</vt:lpwstr>
  </property>
  <property fmtid="{D5CDD505-2E9C-101B-9397-08002B2CF9AE}" pid="5" name="ICV">
    <vt:lpwstr>338BF6766DDF4C70BEAB50D53CEDF179_12</vt:lpwstr>
  </property>
</Properties>
</file>