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517CBA">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eastAsia"/>
          <w:b/>
          <w:bCs/>
          <w:color w:val="auto"/>
          <w:sz w:val="44"/>
          <w:szCs w:val="44"/>
          <w:lang w:val="en-US" w:eastAsia="zh-CN"/>
        </w:rPr>
      </w:pPr>
      <w:r>
        <w:rPr>
          <w:rFonts w:hint="eastAsia"/>
          <w:b/>
          <w:bCs/>
          <w:color w:val="auto"/>
          <w:sz w:val="36"/>
          <w:szCs w:val="36"/>
          <w:lang w:val="en-US" w:eastAsia="zh-CN"/>
        </w:rPr>
        <w:t>项目需求及技术要求</w:t>
      </w:r>
    </w:p>
    <w:p w14:paraId="1E5D01DB">
      <w:pPr>
        <w:keepNext w:val="0"/>
        <w:keepLines w:val="0"/>
        <w:pageBreakBefore w:val="0"/>
        <w:widowControl/>
        <w:kinsoku/>
        <w:wordWrap/>
        <w:overflowPunct/>
        <w:topLinePunct w:val="0"/>
        <w:autoSpaceDE/>
        <w:autoSpaceDN/>
        <w:bidi w:val="0"/>
        <w:adjustRightInd/>
        <w:snapToGrid/>
        <w:spacing w:line="240" w:lineRule="auto"/>
        <w:ind w:firstLine="482"/>
        <w:textAlignment w:val="auto"/>
        <w:rPr>
          <w:color w:val="auto"/>
        </w:rPr>
      </w:pPr>
      <w:r>
        <w:rPr>
          <w:color w:val="auto"/>
        </w:rPr>
        <w:t>一、项目概况</w:t>
      </w:r>
    </w:p>
    <w:p w14:paraId="4B979D76">
      <w:pPr>
        <w:keepNext w:val="0"/>
        <w:keepLines w:val="0"/>
        <w:pageBreakBefore w:val="0"/>
        <w:widowControl/>
        <w:kinsoku/>
        <w:wordWrap/>
        <w:overflowPunct/>
        <w:topLinePunct w:val="0"/>
        <w:autoSpaceDE/>
        <w:autoSpaceDN/>
        <w:bidi w:val="0"/>
        <w:adjustRightInd/>
        <w:snapToGrid/>
        <w:spacing w:line="240" w:lineRule="auto"/>
        <w:ind w:firstLine="482"/>
        <w:textAlignment w:val="auto"/>
        <w:rPr>
          <w:color w:val="auto"/>
        </w:rPr>
      </w:pPr>
      <w:r>
        <w:rPr>
          <w:color w:val="auto"/>
        </w:rPr>
        <w:t>为进一步完善校园安防体系，针对校内公共区域及现有监控盲区，增补布设高清夜视安防监控设备。本项目实施地点为辽宁何氏医学院中心校区、北校区、主校区。</w:t>
      </w:r>
    </w:p>
    <w:p w14:paraId="0EC01530">
      <w:pPr>
        <w:keepNext w:val="0"/>
        <w:keepLines w:val="0"/>
        <w:pageBreakBefore w:val="0"/>
        <w:widowControl/>
        <w:kinsoku/>
        <w:wordWrap/>
        <w:overflowPunct/>
        <w:topLinePunct w:val="0"/>
        <w:autoSpaceDE/>
        <w:autoSpaceDN/>
        <w:bidi w:val="0"/>
        <w:adjustRightInd/>
        <w:snapToGrid/>
        <w:spacing w:line="240" w:lineRule="auto"/>
        <w:ind w:firstLine="482"/>
        <w:textAlignment w:val="auto"/>
        <w:rPr>
          <w:color w:val="auto"/>
        </w:rPr>
      </w:pPr>
      <w:r>
        <w:rPr>
          <w:color w:val="auto"/>
        </w:rPr>
        <w:t>二、招标范围及主要内容</w:t>
      </w:r>
    </w:p>
    <w:p w14:paraId="0DB97141">
      <w:pPr>
        <w:keepNext w:val="0"/>
        <w:keepLines w:val="0"/>
        <w:pageBreakBefore w:val="0"/>
        <w:widowControl/>
        <w:kinsoku/>
        <w:wordWrap/>
        <w:overflowPunct/>
        <w:topLinePunct w:val="0"/>
        <w:autoSpaceDE/>
        <w:autoSpaceDN/>
        <w:bidi w:val="0"/>
        <w:adjustRightInd/>
        <w:snapToGrid/>
        <w:spacing w:line="240" w:lineRule="auto"/>
        <w:ind w:firstLine="482"/>
        <w:textAlignment w:val="auto"/>
        <w:rPr>
          <w:color w:val="auto"/>
        </w:rPr>
      </w:pPr>
      <w:r>
        <w:rPr>
          <w:color w:val="auto"/>
        </w:rPr>
        <w:t>为主校区、南北校区室外监控盲区安装夜视高清摄像头，设备统一联网接入校内监控室。具体施工内容、项目特征及工程量以工程量清单（附件）为准。</w:t>
      </w:r>
    </w:p>
    <w:p w14:paraId="1A16328E">
      <w:pPr>
        <w:keepNext w:val="0"/>
        <w:keepLines w:val="0"/>
        <w:pageBreakBefore w:val="0"/>
        <w:widowControl/>
        <w:kinsoku/>
        <w:wordWrap/>
        <w:overflowPunct/>
        <w:topLinePunct w:val="0"/>
        <w:autoSpaceDE/>
        <w:autoSpaceDN/>
        <w:bidi w:val="0"/>
        <w:adjustRightInd/>
        <w:snapToGrid/>
        <w:spacing w:line="240" w:lineRule="auto"/>
        <w:ind w:firstLine="482"/>
        <w:textAlignment w:val="auto"/>
        <w:rPr>
          <w:color w:val="auto"/>
        </w:rPr>
      </w:pPr>
      <w:r>
        <w:rPr>
          <w:color w:val="auto"/>
        </w:rPr>
        <w:t>三、主要设备技术要求</w:t>
      </w:r>
    </w:p>
    <w:tbl>
      <w:tblPr>
        <w:tblStyle w:val="4"/>
        <w:tblW w:w="8522" w:type="dxa"/>
        <w:jc w:val="center"/>
        <w:tblBorders>
          <w:top w:val="single" w:color="9AA7AD" w:sz="6" w:space="0"/>
          <w:left w:val="single" w:color="9AA7AD" w:sz="6" w:space="0"/>
          <w:bottom w:val="single" w:color="9AA7AD" w:sz="6" w:space="0"/>
          <w:right w:val="single" w:color="9AA7AD" w:sz="6" w:space="0"/>
          <w:insideH w:val="single" w:color="9AA7AD" w:sz="4" w:space="0"/>
          <w:insideV w:val="single" w:color="9AA7AD" w:sz="4" w:space="0"/>
        </w:tblBorders>
        <w:tblLayout w:type="autofit"/>
        <w:tblCellMar>
          <w:top w:w="0" w:type="dxa"/>
          <w:left w:w="10" w:type="dxa"/>
          <w:bottom w:w="0" w:type="dxa"/>
          <w:right w:w="10" w:type="dxa"/>
        </w:tblCellMar>
      </w:tblPr>
      <w:tblGrid>
        <w:gridCol w:w="661"/>
        <w:gridCol w:w="1381"/>
        <w:gridCol w:w="1141"/>
        <w:gridCol w:w="2976"/>
        <w:gridCol w:w="2363"/>
      </w:tblGrid>
      <w:tr w14:paraId="745E6C0D">
        <w:tblPrEx>
          <w:tblBorders>
            <w:top w:val="single" w:color="9AA7AD" w:sz="6" w:space="0"/>
            <w:left w:val="single" w:color="9AA7AD" w:sz="6" w:space="0"/>
            <w:bottom w:val="single" w:color="9AA7AD" w:sz="6" w:space="0"/>
            <w:right w:val="single" w:color="9AA7AD" w:sz="6" w:space="0"/>
            <w:insideH w:val="single" w:color="9AA7AD" w:sz="4" w:space="0"/>
            <w:insideV w:val="single" w:color="9AA7AD" w:sz="4" w:space="0"/>
          </w:tblBorders>
          <w:tblCellMar>
            <w:top w:w="0" w:type="dxa"/>
            <w:left w:w="10" w:type="dxa"/>
            <w:bottom w:w="0" w:type="dxa"/>
            <w:right w:w="10" w:type="dxa"/>
          </w:tblCellMar>
        </w:tblPrEx>
        <w:trPr>
          <w:trHeight w:val="0" w:hRule="atLeast"/>
          <w:tblHeader/>
          <w:jc w:val="center"/>
        </w:trPr>
        <w:tc>
          <w:tcPr>
            <w:tcW w:w="661" w:type="dxa"/>
            <w:shd w:val="clear" w:color="auto" w:fill="E7EBED"/>
            <w:tcMar>
              <w:top w:w="60" w:type="dxa"/>
              <w:left w:w="100" w:type="dxa"/>
              <w:bottom w:w="60" w:type="dxa"/>
              <w:right w:w="100" w:type="dxa"/>
            </w:tcMar>
            <w:vAlign w:val="center"/>
          </w:tcPr>
          <w:p w14:paraId="45EE5D8B">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b/>
                <w:color w:val="auto"/>
              </w:rPr>
            </w:pPr>
            <w:r>
              <w:rPr>
                <w:b/>
                <w:color w:val="auto"/>
              </w:rPr>
              <w:t>序号</w:t>
            </w:r>
          </w:p>
        </w:tc>
        <w:tc>
          <w:tcPr>
            <w:tcW w:w="1381" w:type="dxa"/>
            <w:shd w:val="clear" w:color="auto" w:fill="E7EBED"/>
            <w:tcMar>
              <w:top w:w="60" w:type="dxa"/>
              <w:left w:w="100" w:type="dxa"/>
              <w:bottom w:w="60" w:type="dxa"/>
              <w:right w:w="100" w:type="dxa"/>
            </w:tcMar>
            <w:vAlign w:val="center"/>
          </w:tcPr>
          <w:p w14:paraId="403374C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b/>
                <w:color w:val="auto"/>
              </w:rPr>
            </w:pPr>
            <w:r>
              <w:rPr>
                <w:b/>
                <w:color w:val="auto"/>
              </w:rPr>
              <w:t>名称</w:t>
            </w:r>
          </w:p>
        </w:tc>
        <w:tc>
          <w:tcPr>
            <w:tcW w:w="1141" w:type="dxa"/>
            <w:shd w:val="clear" w:color="auto" w:fill="E7EBED"/>
            <w:tcMar>
              <w:top w:w="60" w:type="dxa"/>
              <w:left w:w="100" w:type="dxa"/>
              <w:bottom w:w="60" w:type="dxa"/>
              <w:right w:w="100" w:type="dxa"/>
            </w:tcMar>
            <w:vAlign w:val="center"/>
          </w:tcPr>
          <w:p w14:paraId="0CD6377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b/>
                <w:color w:val="auto"/>
              </w:rPr>
            </w:pPr>
            <w:r>
              <w:rPr>
                <w:b/>
                <w:color w:val="auto"/>
              </w:rPr>
              <w:t>品牌</w:t>
            </w:r>
          </w:p>
        </w:tc>
        <w:tc>
          <w:tcPr>
            <w:tcW w:w="2976" w:type="dxa"/>
            <w:shd w:val="clear" w:color="auto" w:fill="E7EBED"/>
            <w:tcMar>
              <w:top w:w="60" w:type="dxa"/>
              <w:left w:w="100" w:type="dxa"/>
              <w:bottom w:w="60" w:type="dxa"/>
              <w:right w:w="100" w:type="dxa"/>
            </w:tcMar>
            <w:vAlign w:val="center"/>
          </w:tcPr>
          <w:p w14:paraId="0DDD433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b/>
                <w:color w:val="auto"/>
              </w:rPr>
            </w:pPr>
            <w:r>
              <w:rPr>
                <w:b/>
                <w:color w:val="auto"/>
              </w:rPr>
              <w:t>型号</w:t>
            </w:r>
          </w:p>
        </w:tc>
        <w:tc>
          <w:tcPr>
            <w:tcW w:w="2363" w:type="dxa"/>
            <w:shd w:val="clear" w:color="auto" w:fill="E7EBED"/>
            <w:tcMar>
              <w:top w:w="60" w:type="dxa"/>
              <w:left w:w="100" w:type="dxa"/>
              <w:bottom w:w="60" w:type="dxa"/>
              <w:right w:w="100" w:type="dxa"/>
            </w:tcMar>
            <w:vAlign w:val="center"/>
          </w:tcPr>
          <w:p w14:paraId="02AD84C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b/>
                <w:color w:val="auto"/>
              </w:rPr>
            </w:pPr>
            <w:r>
              <w:rPr>
                <w:b/>
                <w:color w:val="auto"/>
              </w:rPr>
              <w:t>备注</w:t>
            </w:r>
          </w:p>
        </w:tc>
      </w:tr>
      <w:tr w14:paraId="6D401A0E">
        <w:tblPrEx>
          <w:tblBorders>
            <w:top w:val="single" w:color="9AA7AD" w:sz="6" w:space="0"/>
            <w:left w:val="single" w:color="9AA7AD" w:sz="6" w:space="0"/>
            <w:bottom w:val="single" w:color="9AA7AD" w:sz="6" w:space="0"/>
            <w:right w:val="single" w:color="9AA7AD" w:sz="6" w:space="0"/>
            <w:insideH w:val="single" w:color="9AA7AD" w:sz="4" w:space="0"/>
            <w:insideV w:val="single" w:color="9AA7AD" w:sz="4" w:space="0"/>
          </w:tblBorders>
          <w:tblCellMar>
            <w:top w:w="0" w:type="dxa"/>
            <w:left w:w="10" w:type="dxa"/>
            <w:bottom w:w="0" w:type="dxa"/>
            <w:right w:w="10" w:type="dxa"/>
          </w:tblCellMar>
        </w:tblPrEx>
        <w:trPr>
          <w:trHeight w:val="0" w:hRule="atLeast"/>
          <w:jc w:val="center"/>
        </w:trPr>
        <w:tc>
          <w:tcPr>
            <w:tcW w:w="661" w:type="dxa"/>
            <w:tcMar>
              <w:top w:w="60" w:type="dxa"/>
              <w:left w:w="100" w:type="dxa"/>
              <w:bottom w:w="60" w:type="dxa"/>
              <w:right w:w="100" w:type="dxa"/>
            </w:tcMar>
            <w:vAlign w:val="center"/>
          </w:tcPr>
          <w:p w14:paraId="311F71B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color w:val="auto"/>
              </w:rPr>
            </w:pPr>
            <w:r>
              <w:rPr>
                <w:color w:val="auto"/>
              </w:rPr>
              <w:t>1</w:t>
            </w:r>
          </w:p>
        </w:tc>
        <w:tc>
          <w:tcPr>
            <w:tcW w:w="1381" w:type="dxa"/>
            <w:tcMar>
              <w:top w:w="60" w:type="dxa"/>
              <w:left w:w="100" w:type="dxa"/>
              <w:bottom w:w="60" w:type="dxa"/>
              <w:right w:w="100" w:type="dxa"/>
            </w:tcMar>
            <w:vAlign w:val="center"/>
          </w:tcPr>
          <w:p w14:paraId="1650E38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color w:val="auto"/>
              </w:rPr>
            </w:pPr>
            <w:r>
              <w:rPr>
                <w:color w:val="auto"/>
              </w:rPr>
              <w:t>监控头</w:t>
            </w:r>
          </w:p>
        </w:tc>
        <w:tc>
          <w:tcPr>
            <w:tcW w:w="1141" w:type="dxa"/>
            <w:tcMar>
              <w:top w:w="60" w:type="dxa"/>
              <w:left w:w="100" w:type="dxa"/>
              <w:bottom w:w="60" w:type="dxa"/>
              <w:right w:w="100" w:type="dxa"/>
            </w:tcMar>
            <w:vAlign w:val="center"/>
          </w:tcPr>
          <w:p w14:paraId="71ACBF4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color w:val="auto"/>
              </w:rPr>
            </w:pPr>
            <w:r>
              <w:rPr>
                <w:color w:val="auto"/>
              </w:rPr>
              <w:t>海康威视</w:t>
            </w:r>
          </w:p>
        </w:tc>
        <w:tc>
          <w:tcPr>
            <w:tcW w:w="2976" w:type="dxa"/>
            <w:tcMar>
              <w:top w:w="60" w:type="dxa"/>
              <w:left w:w="100" w:type="dxa"/>
              <w:bottom w:w="60" w:type="dxa"/>
              <w:right w:w="100" w:type="dxa"/>
            </w:tcMar>
            <w:vAlign w:val="center"/>
          </w:tcPr>
          <w:p w14:paraId="15C24C1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color w:val="auto"/>
              </w:rPr>
            </w:pPr>
            <w:r>
              <w:rPr>
                <w:color w:val="auto"/>
              </w:rPr>
              <w:t>DS-2CD3T46WDA4-L</w:t>
            </w:r>
          </w:p>
        </w:tc>
        <w:tc>
          <w:tcPr>
            <w:tcW w:w="2363" w:type="dxa"/>
            <w:tcMar>
              <w:top w:w="60" w:type="dxa"/>
              <w:left w:w="100" w:type="dxa"/>
              <w:bottom w:w="60" w:type="dxa"/>
              <w:right w:w="100" w:type="dxa"/>
            </w:tcMar>
            <w:vAlign w:val="center"/>
          </w:tcPr>
          <w:p w14:paraId="63279DE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color w:val="auto"/>
              </w:rPr>
            </w:pPr>
          </w:p>
        </w:tc>
      </w:tr>
      <w:tr w14:paraId="4A7DA76F">
        <w:tblPrEx>
          <w:tblBorders>
            <w:top w:val="single" w:color="9AA7AD" w:sz="6" w:space="0"/>
            <w:left w:val="single" w:color="9AA7AD" w:sz="6" w:space="0"/>
            <w:bottom w:val="single" w:color="9AA7AD" w:sz="6" w:space="0"/>
            <w:right w:val="single" w:color="9AA7AD" w:sz="6" w:space="0"/>
            <w:insideH w:val="single" w:color="9AA7AD" w:sz="4" w:space="0"/>
            <w:insideV w:val="single" w:color="9AA7AD" w:sz="4" w:space="0"/>
          </w:tblBorders>
          <w:tblCellMar>
            <w:top w:w="0" w:type="dxa"/>
            <w:left w:w="10" w:type="dxa"/>
            <w:bottom w:w="0" w:type="dxa"/>
            <w:right w:w="10" w:type="dxa"/>
          </w:tblCellMar>
        </w:tblPrEx>
        <w:trPr>
          <w:trHeight w:val="0" w:hRule="atLeast"/>
          <w:jc w:val="center"/>
        </w:trPr>
        <w:tc>
          <w:tcPr>
            <w:tcW w:w="661" w:type="dxa"/>
            <w:tcMar>
              <w:top w:w="60" w:type="dxa"/>
              <w:left w:w="100" w:type="dxa"/>
              <w:bottom w:w="60" w:type="dxa"/>
              <w:right w:w="100" w:type="dxa"/>
            </w:tcMar>
            <w:vAlign w:val="center"/>
          </w:tcPr>
          <w:p w14:paraId="5865386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color w:val="auto"/>
              </w:rPr>
            </w:pPr>
            <w:r>
              <w:rPr>
                <w:color w:val="auto"/>
              </w:rPr>
              <w:t>2</w:t>
            </w:r>
          </w:p>
        </w:tc>
        <w:tc>
          <w:tcPr>
            <w:tcW w:w="1381" w:type="dxa"/>
            <w:tcMar>
              <w:top w:w="60" w:type="dxa"/>
              <w:left w:w="100" w:type="dxa"/>
              <w:bottom w:w="60" w:type="dxa"/>
              <w:right w:w="100" w:type="dxa"/>
            </w:tcMar>
            <w:vAlign w:val="center"/>
          </w:tcPr>
          <w:p w14:paraId="0CA4CD6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color w:val="auto"/>
              </w:rPr>
            </w:pPr>
            <w:r>
              <w:rPr>
                <w:color w:val="auto"/>
              </w:rPr>
              <w:t>交换机</w:t>
            </w:r>
          </w:p>
        </w:tc>
        <w:tc>
          <w:tcPr>
            <w:tcW w:w="1141" w:type="dxa"/>
            <w:tcMar>
              <w:top w:w="60" w:type="dxa"/>
              <w:left w:w="100" w:type="dxa"/>
              <w:bottom w:w="60" w:type="dxa"/>
              <w:right w:w="100" w:type="dxa"/>
            </w:tcMar>
            <w:vAlign w:val="center"/>
          </w:tcPr>
          <w:p w14:paraId="00E25D2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color w:val="auto"/>
              </w:rPr>
            </w:pPr>
            <w:r>
              <w:rPr>
                <w:color w:val="auto"/>
              </w:rPr>
              <w:t>H3C</w:t>
            </w:r>
          </w:p>
        </w:tc>
        <w:tc>
          <w:tcPr>
            <w:tcW w:w="2976" w:type="dxa"/>
            <w:tcMar>
              <w:top w:w="60" w:type="dxa"/>
              <w:left w:w="100" w:type="dxa"/>
              <w:bottom w:w="60" w:type="dxa"/>
              <w:right w:w="100" w:type="dxa"/>
            </w:tcMar>
            <w:vAlign w:val="center"/>
          </w:tcPr>
          <w:p w14:paraId="09AB324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color w:val="auto"/>
              </w:rPr>
            </w:pPr>
            <w:r>
              <w:rPr>
                <w:color w:val="auto"/>
              </w:rPr>
              <w:t>mini S1226F-HPWR（POE）</w:t>
            </w:r>
          </w:p>
        </w:tc>
        <w:tc>
          <w:tcPr>
            <w:tcW w:w="2363" w:type="dxa"/>
            <w:tcMar>
              <w:top w:w="60" w:type="dxa"/>
              <w:left w:w="100" w:type="dxa"/>
              <w:bottom w:w="60" w:type="dxa"/>
              <w:right w:w="100" w:type="dxa"/>
            </w:tcMar>
            <w:vAlign w:val="center"/>
          </w:tcPr>
          <w:p w14:paraId="352F9CF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color w:val="auto"/>
              </w:rPr>
            </w:pPr>
          </w:p>
        </w:tc>
      </w:tr>
      <w:tr w14:paraId="6EF9D07E">
        <w:tblPrEx>
          <w:tblBorders>
            <w:top w:val="single" w:color="9AA7AD" w:sz="6" w:space="0"/>
            <w:left w:val="single" w:color="9AA7AD" w:sz="6" w:space="0"/>
            <w:bottom w:val="single" w:color="9AA7AD" w:sz="6" w:space="0"/>
            <w:right w:val="single" w:color="9AA7AD" w:sz="6" w:space="0"/>
            <w:insideH w:val="single" w:color="9AA7AD" w:sz="4" w:space="0"/>
            <w:insideV w:val="single" w:color="9AA7AD" w:sz="4" w:space="0"/>
          </w:tblBorders>
          <w:tblCellMar>
            <w:top w:w="0" w:type="dxa"/>
            <w:left w:w="10" w:type="dxa"/>
            <w:bottom w:w="0" w:type="dxa"/>
            <w:right w:w="10" w:type="dxa"/>
          </w:tblCellMar>
        </w:tblPrEx>
        <w:trPr>
          <w:trHeight w:val="0" w:hRule="atLeast"/>
          <w:jc w:val="center"/>
        </w:trPr>
        <w:tc>
          <w:tcPr>
            <w:tcW w:w="661" w:type="dxa"/>
            <w:tcMar>
              <w:top w:w="60" w:type="dxa"/>
              <w:left w:w="100" w:type="dxa"/>
              <w:bottom w:w="60" w:type="dxa"/>
              <w:right w:w="100" w:type="dxa"/>
            </w:tcMar>
            <w:vAlign w:val="center"/>
          </w:tcPr>
          <w:p w14:paraId="1DB6E72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color w:val="auto"/>
              </w:rPr>
            </w:pPr>
            <w:r>
              <w:rPr>
                <w:color w:val="auto"/>
              </w:rPr>
              <w:t>3</w:t>
            </w:r>
          </w:p>
        </w:tc>
        <w:tc>
          <w:tcPr>
            <w:tcW w:w="1381" w:type="dxa"/>
            <w:tcMar>
              <w:top w:w="60" w:type="dxa"/>
              <w:left w:w="100" w:type="dxa"/>
              <w:bottom w:w="60" w:type="dxa"/>
              <w:right w:w="100" w:type="dxa"/>
            </w:tcMar>
            <w:vAlign w:val="center"/>
          </w:tcPr>
          <w:p w14:paraId="442F041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color w:val="auto"/>
              </w:rPr>
            </w:pPr>
            <w:r>
              <w:rPr>
                <w:color w:val="auto"/>
              </w:rPr>
              <w:t>光纤</w:t>
            </w:r>
          </w:p>
        </w:tc>
        <w:tc>
          <w:tcPr>
            <w:tcW w:w="1141" w:type="dxa"/>
            <w:tcMar>
              <w:top w:w="60" w:type="dxa"/>
              <w:left w:w="100" w:type="dxa"/>
              <w:bottom w:w="60" w:type="dxa"/>
              <w:right w:w="100" w:type="dxa"/>
            </w:tcMar>
            <w:vAlign w:val="center"/>
          </w:tcPr>
          <w:p w14:paraId="6DA4C5B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color w:val="auto"/>
              </w:rPr>
            </w:pPr>
            <w:r>
              <w:rPr>
                <w:color w:val="auto"/>
              </w:rPr>
              <w:t>立孚</w:t>
            </w:r>
          </w:p>
        </w:tc>
        <w:tc>
          <w:tcPr>
            <w:tcW w:w="2976" w:type="dxa"/>
            <w:tcMar>
              <w:top w:w="60" w:type="dxa"/>
              <w:left w:w="100" w:type="dxa"/>
              <w:bottom w:w="60" w:type="dxa"/>
              <w:right w:w="100" w:type="dxa"/>
            </w:tcMar>
            <w:vAlign w:val="center"/>
          </w:tcPr>
          <w:p w14:paraId="55DC020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color w:val="auto"/>
              </w:rPr>
            </w:pPr>
            <w:r>
              <w:rPr>
                <w:color w:val="auto"/>
              </w:rPr>
              <w:t>6芯</w:t>
            </w:r>
          </w:p>
        </w:tc>
        <w:tc>
          <w:tcPr>
            <w:tcW w:w="2363" w:type="dxa"/>
            <w:tcMar>
              <w:top w:w="60" w:type="dxa"/>
              <w:left w:w="100" w:type="dxa"/>
              <w:bottom w:w="60" w:type="dxa"/>
              <w:right w:w="100" w:type="dxa"/>
            </w:tcMar>
            <w:vAlign w:val="center"/>
          </w:tcPr>
          <w:p w14:paraId="4554B2B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color w:val="auto"/>
              </w:rPr>
            </w:pPr>
            <w:r>
              <w:rPr>
                <w:color w:val="auto"/>
              </w:rPr>
              <w:t>食堂西南角采用12芯光纤</w:t>
            </w:r>
          </w:p>
        </w:tc>
      </w:tr>
      <w:tr w14:paraId="30D989D5">
        <w:tblPrEx>
          <w:tblBorders>
            <w:top w:val="single" w:color="9AA7AD" w:sz="6" w:space="0"/>
            <w:left w:val="single" w:color="9AA7AD" w:sz="6" w:space="0"/>
            <w:bottom w:val="single" w:color="9AA7AD" w:sz="6" w:space="0"/>
            <w:right w:val="single" w:color="9AA7AD" w:sz="6" w:space="0"/>
            <w:insideH w:val="single" w:color="9AA7AD" w:sz="4" w:space="0"/>
            <w:insideV w:val="single" w:color="9AA7AD" w:sz="4" w:space="0"/>
          </w:tblBorders>
          <w:tblCellMar>
            <w:top w:w="0" w:type="dxa"/>
            <w:left w:w="10" w:type="dxa"/>
            <w:bottom w:w="0" w:type="dxa"/>
            <w:right w:w="10" w:type="dxa"/>
          </w:tblCellMar>
        </w:tblPrEx>
        <w:trPr>
          <w:trHeight w:val="0" w:hRule="atLeast"/>
          <w:jc w:val="center"/>
        </w:trPr>
        <w:tc>
          <w:tcPr>
            <w:tcW w:w="661" w:type="dxa"/>
            <w:tcMar>
              <w:top w:w="60" w:type="dxa"/>
              <w:left w:w="100" w:type="dxa"/>
              <w:bottom w:w="60" w:type="dxa"/>
              <w:right w:w="100" w:type="dxa"/>
            </w:tcMar>
            <w:vAlign w:val="center"/>
          </w:tcPr>
          <w:p w14:paraId="07E384D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color w:val="auto"/>
              </w:rPr>
            </w:pPr>
            <w:r>
              <w:rPr>
                <w:color w:val="auto"/>
              </w:rPr>
              <w:t>4</w:t>
            </w:r>
          </w:p>
        </w:tc>
        <w:tc>
          <w:tcPr>
            <w:tcW w:w="1381" w:type="dxa"/>
            <w:tcMar>
              <w:top w:w="60" w:type="dxa"/>
              <w:left w:w="100" w:type="dxa"/>
              <w:bottom w:w="60" w:type="dxa"/>
              <w:right w:w="100" w:type="dxa"/>
            </w:tcMar>
            <w:vAlign w:val="center"/>
          </w:tcPr>
          <w:p w14:paraId="2859F24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color w:val="auto"/>
              </w:rPr>
            </w:pPr>
            <w:r>
              <w:rPr>
                <w:color w:val="auto"/>
              </w:rPr>
              <w:t>光纤收发器</w:t>
            </w:r>
          </w:p>
        </w:tc>
        <w:tc>
          <w:tcPr>
            <w:tcW w:w="1141" w:type="dxa"/>
            <w:tcMar>
              <w:top w:w="60" w:type="dxa"/>
              <w:left w:w="100" w:type="dxa"/>
              <w:bottom w:w="60" w:type="dxa"/>
              <w:right w:w="100" w:type="dxa"/>
            </w:tcMar>
            <w:vAlign w:val="center"/>
          </w:tcPr>
          <w:p w14:paraId="5B8C55D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color w:val="auto"/>
              </w:rPr>
            </w:pPr>
            <w:r>
              <w:rPr>
                <w:color w:val="auto"/>
              </w:rPr>
              <w:t>TPLINK</w:t>
            </w:r>
          </w:p>
        </w:tc>
        <w:tc>
          <w:tcPr>
            <w:tcW w:w="2976" w:type="dxa"/>
            <w:tcMar>
              <w:top w:w="60" w:type="dxa"/>
              <w:left w:w="100" w:type="dxa"/>
              <w:bottom w:w="60" w:type="dxa"/>
              <w:right w:w="100" w:type="dxa"/>
            </w:tcMar>
            <w:vAlign w:val="center"/>
          </w:tcPr>
          <w:p w14:paraId="758FF56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color w:val="auto"/>
              </w:rPr>
            </w:pPr>
            <w:r>
              <w:rPr>
                <w:color w:val="auto"/>
              </w:rPr>
              <w:t>FC311A-FC314PB</w:t>
            </w:r>
          </w:p>
        </w:tc>
        <w:tc>
          <w:tcPr>
            <w:tcW w:w="2363" w:type="dxa"/>
            <w:tcMar>
              <w:top w:w="60" w:type="dxa"/>
              <w:left w:w="100" w:type="dxa"/>
              <w:bottom w:w="60" w:type="dxa"/>
              <w:right w:w="100" w:type="dxa"/>
            </w:tcMar>
            <w:vAlign w:val="center"/>
          </w:tcPr>
          <w:p w14:paraId="63AA8CC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color w:val="auto"/>
              </w:rPr>
            </w:pPr>
            <w:r>
              <w:rPr>
                <w:color w:val="auto"/>
              </w:rPr>
              <w:t>POE/单模单纤/1分4</w:t>
            </w:r>
          </w:p>
        </w:tc>
      </w:tr>
      <w:tr w14:paraId="67E778F1">
        <w:tblPrEx>
          <w:tblBorders>
            <w:top w:val="single" w:color="9AA7AD" w:sz="6" w:space="0"/>
            <w:left w:val="single" w:color="9AA7AD" w:sz="6" w:space="0"/>
            <w:bottom w:val="single" w:color="9AA7AD" w:sz="6" w:space="0"/>
            <w:right w:val="single" w:color="9AA7AD" w:sz="6" w:space="0"/>
            <w:insideH w:val="single" w:color="9AA7AD" w:sz="4" w:space="0"/>
            <w:insideV w:val="single" w:color="9AA7AD" w:sz="4" w:space="0"/>
          </w:tblBorders>
          <w:tblCellMar>
            <w:top w:w="0" w:type="dxa"/>
            <w:left w:w="10" w:type="dxa"/>
            <w:bottom w:w="0" w:type="dxa"/>
            <w:right w:w="10" w:type="dxa"/>
          </w:tblCellMar>
        </w:tblPrEx>
        <w:trPr>
          <w:trHeight w:val="0" w:hRule="atLeast"/>
          <w:jc w:val="center"/>
        </w:trPr>
        <w:tc>
          <w:tcPr>
            <w:tcW w:w="661" w:type="dxa"/>
            <w:tcMar>
              <w:top w:w="60" w:type="dxa"/>
              <w:left w:w="100" w:type="dxa"/>
              <w:bottom w:w="60" w:type="dxa"/>
              <w:right w:w="100" w:type="dxa"/>
            </w:tcMar>
            <w:vAlign w:val="center"/>
          </w:tcPr>
          <w:p w14:paraId="1214717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color w:val="auto"/>
              </w:rPr>
            </w:pPr>
            <w:r>
              <w:rPr>
                <w:color w:val="auto"/>
              </w:rPr>
              <w:t>5</w:t>
            </w:r>
          </w:p>
        </w:tc>
        <w:tc>
          <w:tcPr>
            <w:tcW w:w="1381" w:type="dxa"/>
            <w:tcMar>
              <w:top w:w="60" w:type="dxa"/>
              <w:left w:w="100" w:type="dxa"/>
              <w:bottom w:w="60" w:type="dxa"/>
              <w:right w:w="100" w:type="dxa"/>
            </w:tcMar>
            <w:vAlign w:val="center"/>
          </w:tcPr>
          <w:p w14:paraId="4C22E82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color w:val="auto"/>
              </w:rPr>
            </w:pPr>
            <w:r>
              <w:rPr>
                <w:color w:val="auto"/>
              </w:rPr>
              <w:t>网线</w:t>
            </w:r>
          </w:p>
        </w:tc>
        <w:tc>
          <w:tcPr>
            <w:tcW w:w="1141" w:type="dxa"/>
            <w:tcMar>
              <w:top w:w="60" w:type="dxa"/>
              <w:left w:w="100" w:type="dxa"/>
              <w:bottom w:w="60" w:type="dxa"/>
              <w:right w:w="100" w:type="dxa"/>
            </w:tcMar>
            <w:vAlign w:val="center"/>
          </w:tcPr>
          <w:p w14:paraId="7C92CDB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color w:val="auto"/>
              </w:rPr>
            </w:pPr>
            <w:r>
              <w:rPr>
                <w:color w:val="auto"/>
              </w:rPr>
              <w:t>罗格朗</w:t>
            </w:r>
          </w:p>
        </w:tc>
        <w:tc>
          <w:tcPr>
            <w:tcW w:w="2976" w:type="dxa"/>
            <w:tcMar>
              <w:top w:w="60" w:type="dxa"/>
              <w:left w:w="100" w:type="dxa"/>
              <w:bottom w:w="60" w:type="dxa"/>
              <w:right w:w="100" w:type="dxa"/>
            </w:tcMar>
            <w:vAlign w:val="center"/>
          </w:tcPr>
          <w:p w14:paraId="5A5DF4A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color w:val="auto"/>
              </w:rPr>
            </w:pPr>
            <w:r>
              <w:rPr>
                <w:color w:val="auto"/>
              </w:rPr>
              <w:t>超五类、无氧铜</w:t>
            </w:r>
          </w:p>
        </w:tc>
        <w:tc>
          <w:tcPr>
            <w:tcW w:w="2363" w:type="dxa"/>
            <w:tcMar>
              <w:top w:w="60" w:type="dxa"/>
              <w:left w:w="100" w:type="dxa"/>
              <w:bottom w:w="60" w:type="dxa"/>
              <w:right w:w="100" w:type="dxa"/>
            </w:tcMar>
            <w:vAlign w:val="center"/>
          </w:tcPr>
          <w:p w14:paraId="178696F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color w:val="auto"/>
              </w:rPr>
            </w:pPr>
          </w:p>
        </w:tc>
      </w:tr>
      <w:tr w14:paraId="1C317E58">
        <w:tblPrEx>
          <w:tblBorders>
            <w:top w:val="single" w:color="9AA7AD" w:sz="6" w:space="0"/>
            <w:left w:val="single" w:color="9AA7AD" w:sz="6" w:space="0"/>
            <w:bottom w:val="single" w:color="9AA7AD" w:sz="6" w:space="0"/>
            <w:right w:val="single" w:color="9AA7AD" w:sz="6" w:space="0"/>
            <w:insideH w:val="single" w:color="9AA7AD" w:sz="4" w:space="0"/>
            <w:insideV w:val="single" w:color="9AA7AD" w:sz="4" w:space="0"/>
          </w:tblBorders>
          <w:tblCellMar>
            <w:top w:w="0" w:type="dxa"/>
            <w:left w:w="10" w:type="dxa"/>
            <w:bottom w:w="0" w:type="dxa"/>
            <w:right w:w="10" w:type="dxa"/>
          </w:tblCellMar>
        </w:tblPrEx>
        <w:trPr>
          <w:trHeight w:val="0" w:hRule="atLeast"/>
          <w:jc w:val="center"/>
        </w:trPr>
        <w:tc>
          <w:tcPr>
            <w:tcW w:w="661" w:type="dxa"/>
            <w:tcMar>
              <w:top w:w="60" w:type="dxa"/>
              <w:left w:w="100" w:type="dxa"/>
              <w:bottom w:w="60" w:type="dxa"/>
              <w:right w:w="100" w:type="dxa"/>
            </w:tcMar>
            <w:vAlign w:val="center"/>
          </w:tcPr>
          <w:p w14:paraId="48F43E1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color w:val="auto"/>
              </w:rPr>
            </w:pPr>
            <w:r>
              <w:rPr>
                <w:color w:val="auto"/>
              </w:rPr>
              <w:t>6</w:t>
            </w:r>
          </w:p>
        </w:tc>
        <w:tc>
          <w:tcPr>
            <w:tcW w:w="1381" w:type="dxa"/>
            <w:tcMar>
              <w:top w:w="60" w:type="dxa"/>
              <w:left w:w="100" w:type="dxa"/>
              <w:bottom w:w="60" w:type="dxa"/>
              <w:right w:w="100" w:type="dxa"/>
            </w:tcMar>
            <w:vAlign w:val="center"/>
          </w:tcPr>
          <w:p w14:paraId="110854B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color w:val="auto"/>
              </w:rPr>
            </w:pPr>
            <w:r>
              <w:rPr>
                <w:color w:val="auto"/>
              </w:rPr>
              <w:t>监控杆</w:t>
            </w:r>
          </w:p>
        </w:tc>
        <w:tc>
          <w:tcPr>
            <w:tcW w:w="1141" w:type="dxa"/>
            <w:tcMar>
              <w:top w:w="60" w:type="dxa"/>
              <w:left w:w="100" w:type="dxa"/>
              <w:bottom w:w="60" w:type="dxa"/>
              <w:right w:w="100" w:type="dxa"/>
            </w:tcMar>
            <w:vAlign w:val="center"/>
          </w:tcPr>
          <w:p w14:paraId="66387EA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color w:val="auto"/>
              </w:rPr>
            </w:pPr>
            <w:r>
              <w:rPr>
                <w:color w:val="auto"/>
              </w:rPr>
              <w:t>国标</w:t>
            </w:r>
          </w:p>
        </w:tc>
        <w:tc>
          <w:tcPr>
            <w:tcW w:w="2976" w:type="dxa"/>
            <w:tcMar>
              <w:top w:w="60" w:type="dxa"/>
              <w:left w:w="100" w:type="dxa"/>
              <w:bottom w:w="60" w:type="dxa"/>
              <w:right w:w="100" w:type="dxa"/>
            </w:tcMar>
            <w:vAlign w:val="center"/>
          </w:tcPr>
          <w:p w14:paraId="7F486B4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color w:val="auto"/>
              </w:rPr>
            </w:pPr>
            <w:r>
              <w:rPr>
                <w:color w:val="auto"/>
              </w:rPr>
              <w:t>非拼接一体杆</w:t>
            </w:r>
          </w:p>
        </w:tc>
        <w:tc>
          <w:tcPr>
            <w:tcW w:w="2363" w:type="dxa"/>
            <w:tcMar>
              <w:top w:w="60" w:type="dxa"/>
              <w:left w:w="100" w:type="dxa"/>
              <w:bottom w:w="60" w:type="dxa"/>
              <w:right w:w="100" w:type="dxa"/>
            </w:tcMar>
            <w:vAlign w:val="center"/>
          </w:tcPr>
          <w:p w14:paraId="1D7A011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color w:val="auto"/>
              </w:rPr>
            </w:pPr>
          </w:p>
        </w:tc>
      </w:tr>
    </w:tbl>
    <w:p w14:paraId="32FC4727">
      <w:pPr>
        <w:keepNext w:val="0"/>
        <w:keepLines w:val="0"/>
        <w:pageBreakBefore w:val="0"/>
        <w:widowControl/>
        <w:kinsoku/>
        <w:wordWrap/>
        <w:overflowPunct/>
        <w:topLinePunct w:val="0"/>
        <w:autoSpaceDE/>
        <w:autoSpaceDN/>
        <w:bidi w:val="0"/>
        <w:adjustRightInd/>
        <w:snapToGrid/>
        <w:spacing w:line="240" w:lineRule="auto"/>
        <w:ind w:firstLine="482"/>
        <w:textAlignment w:val="auto"/>
        <w:rPr>
          <w:color w:val="auto"/>
        </w:rPr>
      </w:pPr>
      <w:r>
        <w:rPr>
          <w:color w:val="auto"/>
        </w:rPr>
        <w:t>所有新增监控设备必须统一采用海康威视品牌，兼容接入学校现有监控系统。主要设备的品牌、型号及技术要求如下表：</w:t>
      </w:r>
    </w:p>
    <w:p w14:paraId="35DD52B6">
      <w:pPr>
        <w:keepNext w:val="0"/>
        <w:keepLines w:val="0"/>
        <w:pageBreakBefore w:val="0"/>
        <w:widowControl/>
        <w:kinsoku/>
        <w:wordWrap/>
        <w:overflowPunct/>
        <w:topLinePunct w:val="0"/>
        <w:autoSpaceDE/>
        <w:autoSpaceDN/>
        <w:bidi w:val="0"/>
        <w:adjustRightInd/>
        <w:snapToGrid/>
        <w:spacing w:line="240" w:lineRule="auto"/>
        <w:ind w:firstLine="482"/>
        <w:textAlignment w:val="auto"/>
        <w:rPr>
          <w:color w:val="auto"/>
        </w:rPr>
      </w:pPr>
      <w:r>
        <w:rPr>
          <w:color w:val="auto"/>
        </w:rPr>
        <w:t>注：上表品牌、型号为使用部门根据与学校现有监控系统兼容接入需要所确定的要求，投标人须按此响应；所投设备应为全新正品，并随附合格证明。</w:t>
      </w:r>
    </w:p>
    <w:p w14:paraId="2AD1CD3C">
      <w:pPr>
        <w:keepNext w:val="0"/>
        <w:keepLines w:val="0"/>
        <w:pageBreakBefore w:val="0"/>
        <w:widowControl/>
        <w:kinsoku/>
        <w:wordWrap/>
        <w:overflowPunct/>
        <w:topLinePunct w:val="0"/>
        <w:autoSpaceDE/>
        <w:autoSpaceDN/>
        <w:bidi w:val="0"/>
        <w:adjustRightInd/>
        <w:snapToGrid/>
        <w:spacing w:line="240" w:lineRule="auto"/>
        <w:ind w:firstLine="482"/>
        <w:textAlignment w:val="auto"/>
        <w:rPr>
          <w:color w:val="auto"/>
        </w:rPr>
      </w:pPr>
      <w:r>
        <w:rPr>
          <w:color w:val="auto"/>
        </w:rPr>
        <w:t>四、技术及质量标准</w:t>
      </w:r>
    </w:p>
    <w:p w14:paraId="6479DDC3">
      <w:pPr>
        <w:keepNext w:val="0"/>
        <w:keepLines w:val="0"/>
        <w:pageBreakBefore w:val="0"/>
        <w:widowControl/>
        <w:kinsoku/>
        <w:wordWrap/>
        <w:overflowPunct/>
        <w:topLinePunct w:val="0"/>
        <w:autoSpaceDE/>
        <w:autoSpaceDN/>
        <w:bidi w:val="0"/>
        <w:adjustRightInd/>
        <w:snapToGrid/>
        <w:spacing w:line="240" w:lineRule="auto"/>
        <w:ind w:firstLine="482"/>
        <w:textAlignment w:val="auto"/>
        <w:rPr>
          <w:color w:val="auto"/>
        </w:rPr>
      </w:pPr>
      <w:r>
        <w:rPr>
          <w:color w:val="auto"/>
        </w:rPr>
        <w:t>1. 《建筑电气与智能化通用规范》GB 55024-2022（全文强制性）；</w:t>
      </w:r>
    </w:p>
    <w:p w14:paraId="5491DFBD">
      <w:pPr>
        <w:keepNext w:val="0"/>
        <w:keepLines w:val="0"/>
        <w:pageBreakBefore w:val="0"/>
        <w:widowControl/>
        <w:kinsoku/>
        <w:wordWrap/>
        <w:overflowPunct/>
        <w:topLinePunct w:val="0"/>
        <w:autoSpaceDE/>
        <w:autoSpaceDN/>
        <w:bidi w:val="0"/>
        <w:adjustRightInd/>
        <w:snapToGrid/>
        <w:spacing w:line="240" w:lineRule="auto"/>
        <w:ind w:firstLine="482"/>
        <w:textAlignment w:val="auto"/>
        <w:rPr>
          <w:color w:val="auto"/>
        </w:rPr>
      </w:pPr>
      <w:r>
        <w:rPr>
          <w:color w:val="auto"/>
        </w:rPr>
        <w:t>2. 《建筑电气工程施工质量验收规范》GB 50303-2015；</w:t>
      </w:r>
    </w:p>
    <w:p w14:paraId="750CDAE8">
      <w:pPr>
        <w:keepNext w:val="0"/>
        <w:keepLines w:val="0"/>
        <w:pageBreakBefore w:val="0"/>
        <w:widowControl/>
        <w:kinsoku/>
        <w:wordWrap/>
        <w:overflowPunct/>
        <w:topLinePunct w:val="0"/>
        <w:autoSpaceDE/>
        <w:autoSpaceDN/>
        <w:bidi w:val="0"/>
        <w:adjustRightInd/>
        <w:snapToGrid/>
        <w:spacing w:line="240" w:lineRule="auto"/>
        <w:ind w:firstLine="482"/>
        <w:textAlignment w:val="auto"/>
        <w:rPr>
          <w:color w:val="auto"/>
        </w:rPr>
      </w:pPr>
      <w:r>
        <w:rPr>
          <w:color w:val="auto"/>
        </w:rPr>
        <w:t>3. 《民用建筑电气设计标准》GB 51348-2019；</w:t>
      </w:r>
    </w:p>
    <w:p w14:paraId="686E3205">
      <w:pPr>
        <w:keepNext w:val="0"/>
        <w:keepLines w:val="0"/>
        <w:pageBreakBefore w:val="0"/>
        <w:widowControl/>
        <w:kinsoku/>
        <w:wordWrap/>
        <w:overflowPunct/>
        <w:topLinePunct w:val="0"/>
        <w:autoSpaceDE/>
        <w:autoSpaceDN/>
        <w:bidi w:val="0"/>
        <w:adjustRightInd/>
        <w:snapToGrid/>
        <w:spacing w:line="240" w:lineRule="auto"/>
        <w:ind w:firstLine="482"/>
        <w:textAlignment w:val="auto"/>
        <w:rPr>
          <w:color w:val="auto"/>
        </w:rPr>
      </w:pPr>
      <w:r>
        <w:rPr>
          <w:color w:val="auto"/>
        </w:rPr>
        <w:t>4. 《建筑工程施工质量验收统一标准》GB 50300-2013；</w:t>
      </w:r>
    </w:p>
    <w:p w14:paraId="3A4E5B48">
      <w:pPr>
        <w:keepNext w:val="0"/>
        <w:keepLines w:val="0"/>
        <w:pageBreakBefore w:val="0"/>
        <w:widowControl/>
        <w:kinsoku/>
        <w:wordWrap/>
        <w:overflowPunct/>
        <w:topLinePunct w:val="0"/>
        <w:autoSpaceDE/>
        <w:autoSpaceDN/>
        <w:bidi w:val="0"/>
        <w:adjustRightInd/>
        <w:snapToGrid/>
        <w:spacing w:line="240" w:lineRule="auto"/>
        <w:ind w:firstLine="482"/>
        <w:textAlignment w:val="auto"/>
        <w:rPr>
          <w:color w:val="auto"/>
        </w:rPr>
      </w:pPr>
      <w:r>
        <w:rPr>
          <w:color w:val="auto"/>
        </w:rPr>
        <w:t>5. 《电气装置安装工程 电缆线路施工及验收标准》GB 50168-2018；</w:t>
      </w:r>
    </w:p>
    <w:p w14:paraId="77F19CCD">
      <w:pPr>
        <w:keepNext w:val="0"/>
        <w:keepLines w:val="0"/>
        <w:pageBreakBefore w:val="0"/>
        <w:widowControl/>
        <w:kinsoku/>
        <w:wordWrap/>
        <w:overflowPunct/>
        <w:topLinePunct w:val="0"/>
        <w:autoSpaceDE/>
        <w:autoSpaceDN/>
        <w:bidi w:val="0"/>
        <w:adjustRightInd/>
        <w:snapToGrid/>
        <w:spacing w:line="240" w:lineRule="auto"/>
        <w:ind w:firstLine="482"/>
        <w:textAlignment w:val="auto"/>
        <w:rPr>
          <w:color w:val="auto"/>
        </w:rPr>
      </w:pPr>
      <w:r>
        <w:rPr>
          <w:color w:val="auto"/>
        </w:rPr>
        <w:t>6. 《电力工程电缆设计标准》GB 50217-2018；</w:t>
      </w:r>
    </w:p>
    <w:p w14:paraId="4CB6A6DC">
      <w:pPr>
        <w:keepNext w:val="0"/>
        <w:keepLines w:val="0"/>
        <w:pageBreakBefore w:val="0"/>
        <w:widowControl/>
        <w:kinsoku/>
        <w:wordWrap/>
        <w:overflowPunct/>
        <w:topLinePunct w:val="0"/>
        <w:autoSpaceDE/>
        <w:autoSpaceDN/>
        <w:bidi w:val="0"/>
        <w:adjustRightInd/>
        <w:snapToGrid/>
        <w:spacing w:line="240" w:lineRule="auto"/>
        <w:ind w:firstLine="482"/>
        <w:textAlignment w:val="auto"/>
        <w:rPr>
          <w:color w:val="auto"/>
        </w:rPr>
      </w:pPr>
      <w:r>
        <w:rPr>
          <w:color w:val="auto"/>
        </w:rPr>
        <w:t>7. 《安全防范工程技术规范》GB 50394-2007；</w:t>
      </w:r>
    </w:p>
    <w:p w14:paraId="62AAB4C2">
      <w:pPr>
        <w:keepNext w:val="0"/>
        <w:keepLines w:val="0"/>
        <w:pageBreakBefore w:val="0"/>
        <w:widowControl/>
        <w:kinsoku/>
        <w:wordWrap/>
        <w:overflowPunct/>
        <w:topLinePunct w:val="0"/>
        <w:autoSpaceDE/>
        <w:autoSpaceDN/>
        <w:bidi w:val="0"/>
        <w:adjustRightInd/>
        <w:snapToGrid/>
        <w:spacing w:line="240" w:lineRule="auto"/>
        <w:ind w:firstLine="482"/>
        <w:textAlignment w:val="auto"/>
        <w:rPr>
          <w:color w:val="auto"/>
        </w:rPr>
      </w:pPr>
      <w:r>
        <w:rPr>
          <w:color w:val="auto"/>
        </w:rPr>
        <w:t>8. 《入侵报警系统工程设计规范》GB 50395-2007；</w:t>
      </w:r>
    </w:p>
    <w:p w14:paraId="4AE86D28">
      <w:pPr>
        <w:keepNext w:val="0"/>
        <w:keepLines w:val="0"/>
        <w:pageBreakBefore w:val="0"/>
        <w:widowControl/>
        <w:kinsoku/>
        <w:wordWrap/>
        <w:overflowPunct/>
        <w:topLinePunct w:val="0"/>
        <w:autoSpaceDE/>
        <w:autoSpaceDN/>
        <w:bidi w:val="0"/>
        <w:adjustRightInd/>
        <w:snapToGrid/>
        <w:spacing w:line="240" w:lineRule="auto"/>
        <w:ind w:firstLine="482"/>
        <w:textAlignment w:val="auto"/>
        <w:rPr>
          <w:color w:val="auto"/>
        </w:rPr>
      </w:pPr>
      <w:r>
        <w:rPr>
          <w:color w:val="auto"/>
        </w:rPr>
        <w:t>9. 《视频安防监控系统工程设计规范》GB 50396-2007；</w:t>
      </w:r>
    </w:p>
    <w:p w14:paraId="73AAA328">
      <w:pPr>
        <w:keepNext w:val="0"/>
        <w:keepLines w:val="0"/>
        <w:pageBreakBefore w:val="0"/>
        <w:widowControl/>
        <w:kinsoku/>
        <w:wordWrap/>
        <w:overflowPunct/>
        <w:topLinePunct w:val="0"/>
        <w:autoSpaceDE/>
        <w:autoSpaceDN/>
        <w:bidi w:val="0"/>
        <w:adjustRightInd/>
        <w:snapToGrid/>
        <w:spacing w:line="240" w:lineRule="auto"/>
        <w:ind w:firstLine="482"/>
        <w:textAlignment w:val="auto"/>
        <w:rPr>
          <w:color w:val="auto"/>
        </w:rPr>
      </w:pPr>
      <w:r>
        <w:rPr>
          <w:color w:val="auto"/>
        </w:rPr>
        <w:t>10. 《住宅区和住宅建筑内光纤到户通信设施工程设计规范》GB 50314-2015；</w:t>
      </w:r>
    </w:p>
    <w:p w14:paraId="68E205E7">
      <w:pPr>
        <w:keepNext w:val="0"/>
        <w:keepLines w:val="0"/>
        <w:pageBreakBefore w:val="0"/>
        <w:widowControl/>
        <w:kinsoku/>
        <w:wordWrap/>
        <w:overflowPunct/>
        <w:topLinePunct w:val="0"/>
        <w:autoSpaceDE/>
        <w:autoSpaceDN/>
        <w:bidi w:val="0"/>
        <w:adjustRightInd/>
        <w:snapToGrid/>
        <w:spacing w:line="240" w:lineRule="auto"/>
        <w:ind w:firstLine="482"/>
        <w:textAlignment w:val="auto"/>
        <w:rPr>
          <w:color w:val="auto"/>
        </w:rPr>
      </w:pPr>
      <w:r>
        <w:rPr>
          <w:color w:val="auto"/>
        </w:rPr>
        <w:t>11. 《智能建筑设计标准》《全国住宅小区智能化系统示范工程建设要点与技术导则》GB 50348-2018。</w:t>
      </w:r>
    </w:p>
    <w:p w14:paraId="73C531EC">
      <w:pPr>
        <w:keepNext w:val="0"/>
        <w:keepLines w:val="0"/>
        <w:pageBreakBefore w:val="0"/>
        <w:widowControl/>
        <w:kinsoku/>
        <w:wordWrap/>
        <w:overflowPunct/>
        <w:topLinePunct w:val="0"/>
        <w:autoSpaceDE/>
        <w:autoSpaceDN/>
        <w:bidi w:val="0"/>
        <w:adjustRightInd/>
        <w:snapToGrid/>
        <w:spacing w:line="240" w:lineRule="auto"/>
        <w:ind w:firstLine="482"/>
        <w:textAlignment w:val="auto"/>
        <w:rPr>
          <w:color w:val="auto"/>
        </w:rPr>
      </w:pPr>
      <w:r>
        <w:rPr>
          <w:color w:val="auto"/>
        </w:rPr>
        <w:t>五、验收标准</w:t>
      </w:r>
    </w:p>
    <w:p w14:paraId="433920A1">
      <w:pPr>
        <w:keepNext w:val="0"/>
        <w:keepLines w:val="0"/>
        <w:pageBreakBefore w:val="0"/>
        <w:widowControl/>
        <w:kinsoku/>
        <w:wordWrap/>
        <w:overflowPunct/>
        <w:topLinePunct w:val="0"/>
        <w:autoSpaceDE/>
        <w:autoSpaceDN/>
        <w:bidi w:val="0"/>
        <w:adjustRightInd/>
        <w:snapToGrid/>
        <w:spacing w:line="240" w:lineRule="auto"/>
        <w:ind w:firstLine="482"/>
        <w:textAlignment w:val="auto"/>
        <w:rPr>
          <w:color w:val="auto"/>
        </w:rPr>
      </w:pPr>
      <w:r>
        <w:rPr>
          <w:color w:val="auto"/>
        </w:rPr>
        <w:t>根据使用要求及以上国家标准及技术规范进行验收。包括并不限于：</w:t>
      </w:r>
    </w:p>
    <w:p w14:paraId="02ADC83D">
      <w:pPr>
        <w:keepNext w:val="0"/>
        <w:keepLines w:val="0"/>
        <w:pageBreakBefore w:val="0"/>
        <w:widowControl/>
        <w:kinsoku/>
        <w:wordWrap/>
        <w:overflowPunct/>
        <w:topLinePunct w:val="0"/>
        <w:autoSpaceDE/>
        <w:autoSpaceDN/>
        <w:bidi w:val="0"/>
        <w:adjustRightInd/>
        <w:snapToGrid/>
        <w:spacing w:line="240" w:lineRule="auto"/>
        <w:ind w:firstLine="482"/>
        <w:textAlignment w:val="auto"/>
        <w:rPr>
          <w:color w:val="auto"/>
        </w:rPr>
      </w:pPr>
      <w:r>
        <w:rPr>
          <w:color w:val="auto"/>
        </w:rPr>
        <w:t>1. 《智能建筑工程质量验收规范》GB 50339-2013；</w:t>
      </w:r>
    </w:p>
    <w:p w14:paraId="4ADDB230">
      <w:pPr>
        <w:keepNext w:val="0"/>
        <w:keepLines w:val="0"/>
        <w:pageBreakBefore w:val="0"/>
        <w:widowControl/>
        <w:kinsoku/>
        <w:wordWrap/>
        <w:overflowPunct/>
        <w:topLinePunct w:val="0"/>
        <w:autoSpaceDE/>
        <w:autoSpaceDN/>
        <w:bidi w:val="0"/>
        <w:adjustRightInd/>
        <w:snapToGrid/>
        <w:spacing w:line="240" w:lineRule="auto"/>
        <w:ind w:firstLine="482"/>
        <w:textAlignment w:val="auto"/>
        <w:rPr>
          <w:color w:val="auto"/>
        </w:rPr>
      </w:pPr>
      <w:r>
        <w:rPr>
          <w:color w:val="auto"/>
        </w:rPr>
        <w:t>2. 《建筑电气工程施工质量验收规范》GB 50303；</w:t>
      </w:r>
    </w:p>
    <w:p w14:paraId="42E1D53C">
      <w:pPr>
        <w:keepNext w:val="0"/>
        <w:keepLines w:val="0"/>
        <w:pageBreakBefore w:val="0"/>
        <w:widowControl/>
        <w:kinsoku/>
        <w:wordWrap/>
        <w:overflowPunct/>
        <w:topLinePunct w:val="0"/>
        <w:autoSpaceDE/>
        <w:autoSpaceDN/>
        <w:bidi w:val="0"/>
        <w:adjustRightInd/>
        <w:snapToGrid/>
        <w:spacing w:line="240" w:lineRule="auto"/>
        <w:ind w:firstLine="482"/>
        <w:textAlignment w:val="auto"/>
        <w:rPr>
          <w:color w:val="auto"/>
        </w:rPr>
      </w:pPr>
      <w:r>
        <w:rPr>
          <w:color w:val="auto"/>
        </w:rPr>
        <w:t>3. 《综合布线系统工程验收规范》GB/T 50312-2016等。</w:t>
      </w:r>
    </w:p>
    <w:p w14:paraId="6860CCCB">
      <w:pPr>
        <w:keepNext w:val="0"/>
        <w:keepLines w:val="0"/>
        <w:pageBreakBefore w:val="0"/>
        <w:widowControl/>
        <w:kinsoku/>
        <w:wordWrap/>
        <w:overflowPunct/>
        <w:topLinePunct w:val="0"/>
        <w:autoSpaceDE/>
        <w:autoSpaceDN/>
        <w:bidi w:val="0"/>
        <w:adjustRightInd/>
        <w:snapToGrid/>
        <w:spacing w:line="240" w:lineRule="auto"/>
        <w:ind w:firstLine="482"/>
        <w:textAlignment w:val="auto"/>
        <w:rPr>
          <w:color w:val="auto"/>
        </w:rPr>
      </w:pPr>
      <w:r>
        <w:rPr>
          <w:color w:val="auto"/>
        </w:rPr>
        <w:t>六、工期要求</w:t>
      </w:r>
    </w:p>
    <w:p w14:paraId="495050EF">
      <w:pPr>
        <w:keepNext w:val="0"/>
        <w:keepLines w:val="0"/>
        <w:pageBreakBefore w:val="0"/>
        <w:widowControl/>
        <w:kinsoku/>
        <w:wordWrap/>
        <w:overflowPunct/>
        <w:topLinePunct w:val="0"/>
        <w:autoSpaceDE/>
        <w:autoSpaceDN/>
        <w:bidi w:val="0"/>
        <w:adjustRightInd/>
        <w:snapToGrid/>
        <w:spacing w:line="240" w:lineRule="auto"/>
        <w:ind w:firstLine="482"/>
        <w:textAlignment w:val="auto"/>
        <w:rPr>
          <w:color w:val="auto"/>
        </w:rPr>
      </w:pPr>
      <w:r>
        <w:rPr>
          <w:color w:val="auto"/>
        </w:rPr>
        <w:t>1. 工期：20日历天，具体开竣工时间以合同约定为准。</w:t>
      </w:r>
    </w:p>
    <w:p w14:paraId="56C4C652">
      <w:pPr>
        <w:keepNext w:val="0"/>
        <w:keepLines w:val="0"/>
        <w:pageBreakBefore w:val="0"/>
        <w:widowControl/>
        <w:kinsoku/>
        <w:wordWrap/>
        <w:overflowPunct/>
        <w:topLinePunct w:val="0"/>
        <w:autoSpaceDE/>
        <w:autoSpaceDN/>
        <w:bidi w:val="0"/>
        <w:adjustRightInd/>
        <w:snapToGrid/>
        <w:spacing w:line="240" w:lineRule="auto"/>
        <w:ind w:firstLine="482"/>
        <w:textAlignment w:val="auto"/>
        <w:rPr>
          <w:color w:val="auto"/>
        </w:rPr>
      </w:pPr>
      <w:r>
        <w:rPr>
          <w:color w:val="auto"/>
        </w:rPr>
        <w:t>2. 施工须避开正常教学时段。</w:t>
      </w:r>
    </w:p>
    <w:p w14:paraId="32ED6E3E">
      <w:pPr>
        <w:keepNext w:val="0"/>
        <w:keepLines w:val="0"/>
        <w:pageBreakBefore w:val="0"/>
        <w:widowControl/>
        <w:kinsoku/>
        <w:wordWrap/>
        <w:overflowPunct/>
        <w:topLinePunct w:val="0"/>
        <w:autoSpaceDE/>
        <w:autoSpaceDN/>
        <w:bidi w:val="0"/>
        <w:adjustRightInd/>
        <w:snapToGrid/>
        <w:spacing w:line="240" w:lineRule="auto"/>
        <w:ind w:firstLine="482"/>
        <w:textAlignment w:val="auto"/>
        <w:rPr>
          <w:color w:val="auto"/>
        </w:rPr>
      </w:pPr>
      <w:r>
        <w:rPr>
          <w:color w:val="auto"/>
        </w:rPr>
        <w:t>七、质保要求</w:t>
      </w:r>
    </w:p>
    <w:p w14:paraId="119684F0">
      <w:pPr>
        <w:keepNext w:val="0"/>
        <w:keepLines w:val="0"/>
        <w:pageBreakBefore w:val="0"/>
        <w:widowControl/>
        <w:kinsoku/>
        <w:wordWrap/>
        <w:overflowPunct/>
        <w:topLinePunct w:val="0"/>
        <w:autoSpaceDE/>
        <w:autoSpaceDN/>
        <w:bidi w:val="0"/>
        <w:adjustRightInd/>
        <w:snapToGrid/>
        <w:spacing w:line="240" w:lineRule="auto"/>
        <w:ind w:firstLine="482"/>
        <w:textAlignment w:val="auto"/>
        <w:rPr>
          <w:color w:val="auto"/>
        </w:rPr>
      </w:pPr>
      <w:r>
        <w:rPr>
          <w:color w:val="auto"/>
        </w:rPr>
        <w:t>1. 工程质保期2年，自竣工验收合格之日起算。</w:t>
      </w:r>
    </w:p>
    <w:p w14:paraId="13F35171">
      <w:pPr>
        <w:keepNext w:val="0"/>
        <w:keepLines w:val="0"/>
        <w:pageBreakBefore w:val="0"/>
        <w:widowControl/>
        <w:kinsoku/>
        <w:wordWrap/>
        <w:overflowPunct/>
        <w:topLinePunct w:val="0"/>
        <w:autoSpaceDE/>
        <w:autoSpaceDN/>
        <w:bidi w:val="0"/>
        <w:adjustRightInd/>
        <w:snapToGrid/>
        <w:spacing w:line="240" w:lineRule="auto"/>
        <w:ind w:firstLine="482"/>
        <w:textAlignment w:val="auto"/>
        <w:rPr>
          <w:color w:val="auto"/>
        </w:rPr>
      </w:pPr>
      <w:r>
        <w:rPr>
          <w:color w:val="auto"/>
        </w:rPr>
        <w:t>2. 设备质保期2年，自竣工验收合格之日起算。</w:t>
      </w:r>
    </w:p>
    <w:p w14:paraId="59AA2FE8">
      <w:pPr>
        <w:keepNext w:val="0"/>
        <w:keepLines w:val="0"/>
        <w:pageBreakBefore w:val="0"/>
        <w:widowControl/>
        <w:kinsoku/>
        <w:wordWrap/>
        <w:overflowPunct/>
        <w:topLinePunct w:val="0"/>
        <w:autoSpaceDE/>
        <w:autoSpaceDN/>
        <w:bidi w:val="0"/>
        <w:adjustRightInd/>
        <w:snapToGrid/>
        <w:spacing w:line="240" w:lineRule="auto"/>
        <w:ind w:firstLine="482"/>
        <w:textAlignment w:val="auto"/>
        <w:rPr>
          <w:color w:val="auto"/>
        </w:rPr>
      </w:pPr>
      <w:r>
        <w:rPr>
          <w:color w:val="auto"/>
        </w:rPr>
        <w:t>八、变更与签证</w:t>
      </w:r>
    </w:p>
    <w:p w14:paraId="3673600E">
      <w:pPr>
        <w:keepNext w:val="0"/>
        <w:keepLines w:val="0"/>
        <w:pageBreakBefore w:val="0"/>
        <w:widowControl/>
        <w:kinsoku/>
        <w:wordWrap/>
        <w:overflowPunct/>
        <w:topLinePunct w:val="0"/>
        <w:autoSpaceDE/>
        <w:autoSpaceDN/>
        <w:bidi w:val="0"/>
        <w:adjustRightInd/>
        <w:snapToGrid/>
        <w:spacing w:line="240" w:lineRule="auto"/>
        <w:ind w:firstLine="482"/>
        <w:textAlignment w:val="auto"/>
        <w:rPr>
          <w:color w:val="auto"/>
        </w:rPr>
      </w:pPr>
      <w:r>
        <w:rPr>
          <w:color w:val="auto"/>
        </w:rPr>
        <w:t>变更及现场签证按学校制度执行。</w:t>
      </w:r>
    </w:p>
    <w:p w14:paraId="1A3BBEEE">
      <w:pPr>
        <w:keepNext w:val="0"/>
        <w:keepLines w:val="0"/>
        <w:pageBreakBefore w:val="0"/>
        <w:widowControl/>
        <w:kinsoku/>
        <w:wordWrap/>
        <w:overflowPunct/>
        <w:topLinePunct w:val="0"/>
        <w:autoSpaceDE/>
        <w:autoSpaceDN/>
        <w:bidi w:val="0"/>
        <w:adjustRightInd/>
        <w:snapToGrid/>
        <w:spacing w:line="240" w:lineRule="auto"/>
        <w:ind w:firstLine="482"/>
        <w:textAlignment w:val="auto"/>
        <w:rPr>
          <w:color w:val="auto"/>
        </w:rPr>
      </w:pPr>
      <w:r>
        <w:rPr>
          <w:rFonts w:hint="eastAsia"/>
          <w:color w:val="auto"/>
          <w:lang w:val="en-US" w:eastAsia="zh-CN"/>
        </w:rPr>
        <w:t>九</w:t>
      </w:r>
      <w:r>
        <w:rPr>
          <w:color w:val="auto"/>
        </w:rPr>
        <w:t>、其他交易条件</w:t>
      </w:r>
    </w:p>
    <w:p w14:paraId="61DE1545">
      <w:pPr>
        <w:keepNext w:val="0"/>
        <w:keepLines w:val="0"/>
        <w:pageBreakBefore w:val="0"/>
        <w:widowControl/>
        <w:kinsoku/>
        <w:wordWrap/>
        <w:overflowPunct/>
        <w:topLinePunct w:val="0"/>
        <w:autoSpaceDE/>
        <w:autoSpaceDN/>
        <w:bidi w:val="0"/>
        <w:adjustRightInd/>
        <w:snapToGrid/>
        <w:spacing w:line="240" w:lineRule="auto"/>
        <w:ind w:firstLine="482"/>
        <w:textAlignment w:val="auto"/>
        <w:rPr>
          <w:color w:val="auto"/>
        </w:rPr>
      </w:pPr>
      <w:r>
        <w:rPr>
          <w:color w:val="auto"/>
        </w:rPr>
        <w:t>包含安全文明施工、成品保护、垃圾清运、现场围挡及师生通行疏导等。</w:t>
      </w:r>
    </w:p>
    <w:p w14:paraId="4FCAA42D">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eastAsia" w:eastAsia="宋体"/>
          <w:color w:val="auto"/>
          <w:lang w:val="en-US" w:eastAsia="zh-CN"/>
        </w:rPr>
      </w:pPr>
      <w:r>
        <w:rPr>
          <w:rFonts w:hint="eastAsia"/>
          <w:color w:val="auto"/>
          <w:lang w:val="en-US" w:eastAsia="zh-CN"/>
        </w:rPr>
        <w:t>十</w:t>
      </w:r>
      <w:bookmarkStart w:id="0" w:name="_GoBack"/>
      <w:bookmarkEnd w:id="0"/>
      <w:r>
        <w:rPr>
          <w:color w:val="auto"/>
        </w:rPr>
        <w:t>、</w:t>
      </w:r>
      <w:r>
        <w:rPr>
          <w:rFonts w:hint="eastAsia"/>
          <w:color w:val="auto"/>
          <w:lang w:val="en-US" w:eastAsia="zh-CN"/>
        </w:rPr>
        <w:t>评审方法</w:t>
      </w:r>
    </w:p>
    <w:p w14:paraId="4D0F6365">
      <w:pPr>
        <w:keepNext w:val="0"/>
        <w:keepLines w:val="0"/>
        <w:pageBreakBefore w:val="0"/>
        <w:widowControl/>
        <w:kinsoku/>
        <w:wordWrap/>
        <w:overflowPunct/>
        <w:topLinePunct w:val="0"/>
        <w:autoSpaceDE/>
        <w:autoSpaceDN/>
        <w:bidi w:val="0"/>
        <w:adjustRightInd/>
        <w:snapToGrid/>
        <w:spacing w:line="240" w:lineRule="auto"/>
        <w:ind w:firstLine="482"/>
        <w:textAlignment w:val="auto"/>
        <w:rPr>
          <w:rFonts w:hint="default"/>
          <w:color w:val="auto"/>
          <w:lang w:val="en-US"/>
        </w:rPr>
      </w:pPr>
      <w:r>
        <w:rPr>
          <w:rFonts w:hint="eastAsia"/>
          <w:color w:val="auto"/>
          <w:lang w:val="en-US" w:eastAsia="zh-CN"/>
        </w:rPr>
        <w:t>经评审的最低投标价法</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0EA3A5F"/>
    <w:rsid w:val="33DF20EB"/>
    <w:rsid w:val="46AB33FF"/>
    <w:rsid w:val="51EE2C1B"/>
    <w:rsid w:val="681F5C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00" w:line="360" w:lineRule="auto"/>
      <w:ind w:firstLine="480"/>
    </w:pPr>
    <w:rPr>
      <w:rFonts w:ascii="Times New Roman" w:hAnsi="Times New Roman" w:eastAsia="宋体" w:cs="Times New Roman"/>
      <w:color w:val="262626"/>
      <w:sz w:val="24"/>
      <w:szCs w:val="22"/>
    </w:rPr>
  </w:style>
  <w:style w:type="paragraph" w:styleId="2">
    <w:name w:val="heading 1"/>
    <w:basedOn w:val="1"/>
    <w:next w:val="1"/>
    <w:qFormat/>
    <w:uiPriority w:val="0"/>
    <w:pPr>
      <w:keepNext/>
      <w:keepLines/>
      <w:spacing w:before="360" w:after="300"/>
      <w:ind w:firstLine="0"/>
      <w:jc w:val="center"/>
      <w:outlineLvl w:val="0"/>
    </w:pPr>
    <w:rPr>
      <w:rFonts w:ascii="Times New Roman" w:hAnsi="Times New Roman" w:eastAsia="黑体"/>
      <w:b/>
      <w:color w:val="33424E"/>
      <w:sz w:val="32"/>
    </w:rPr>
  </w:style>
  <w:style w:type="paragraph" w:styleId="3">
    <w:name w:val="heading 2"/>
    <w:basedOn w:val="1"/>
    <w:qFormat/>
    <w:uiPriority w:val="0"/>
    <w:pPr>
      <w:keepNext/>
      <w:keepLines/>
      <w:spacing w:before="280" w:after="160"/>
      <w:ind w:firstLine="0"/>
      <w:outlineLvl w:val="1"/>
    </w:pPr>
    <w:rPr>
      <w:rFonts w:ascii="Times New Roman" w:hAnsi="Times New Roman" w:eastAsia="黑体"/>
      <w:b/>
      <w:color w:val="33424E"/>
      <w:sz w:val="26"/>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540</Words>
  <Characters>575</Characters>
  <Lines>0</Lines>
  <Paragraphs>0</Paragraphs>
  <TotalTime>1</TotalTime>
  <ScaleCrop>false</ScaleCrop>
  <LinksUpToDate>false</LinksUpToDate>
  <CharactersWithSpaces>585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2026-08-08T18:36:00Z</dcterms:created>
  <dc:creator>28721</dc:creator>
  <cp:lastModifiedBy>RO</cp:lastModifiedBy>
  <dcterms:modified xsi:type="dcterms:W3CDTF">2026-08-08T23:37:45Z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eyJoZGlkIjoiN2EzZjdmN2ZiZDE5ZWE0MGNkYjY0YWM4OGRkNDAyOGIiLCJ1c2VySWQiOiIxODE4NDg4NDI1In0=</vt:lpwstr>
  </property>
  <property fmtid="{D5CDD505-2E9C-101B-9397-08002B2CF9AE}" pid="4" name="ICV">
    <vt:lpwstr>42D4EB391F334E1DA0D855C5BC5EE1CB_12</vt:lpwstr>
  </property>
</Properties>
</file>