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17C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jc w:val="center"/>
        <w:textAlignment w:val="auto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项目需求及技术要求</w:t>
      </w:r>
    </w:p>
    <w:p w14:paraId="73333C74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一、项目概况</w:t>
      </w:r>
    </w:p>
    <w:p w14:paraId="1A4BC7E4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中心校区消防报警系统建设于2011年，分为6个回路，合计1000个点位设备，系统报警设备品牌为上海松江，主机和设备至今已使用15年，已超过消防报警设备11年使用年限。其中教学区域消防报警系统室外线路，由于校区内线路管井年久失修，部分位置塌陷进水，线路存在断点、接头虚连情况，造成报警主机经常性报警中断、误报和故障，虽经多次检查维修仍无法有效解决，需对中心校区教学区域消防报警系统外部传输线路统一整体更换，保障消防报警设备正常联动。</w:t>
      </w:r>
    </w:p>
    <w:p w14:paraId="5BFACD8A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二、招标范围及主要内容</w:t>
      </w:r>
    </w:p>
    <w:p w14:paraId="0B82BD8C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 中心校区教学区域（一、二、三、四号教学楼、视光实训楼、基础实训楼、眼博物馆、AB座等）至消防中控室（消防控制中心）的消防报警系统外部传输线路统一整体更换；</w:t>
      </w:r>
    </w:p>
    <w:p w14:paraId="741076FF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 更换的线路与消防联动报警主机对接后进行系统调试，确保正常使用；</w:t>
      </w:r>
    </w:p>
    <w:p w14:paraId="20476B1F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 管理中心行政楼、食堂、二号教学楼线路已更换完成，不属于本次施工范围。</w:t>
      </w:r>
    </w:p>
    <w:p w14:paraId="2CFDEEBC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具体施工内容、项目特征及工程量以工程量清单（附件）为准。</w:t>
      </w:r>
    </w:p>
    <w:p w14:paraId="44E5DC1C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三、主要线路及电缆技术要求</w:t>
      </w:r>
    </w:p>
    <w:p w14:paraId="676904A1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根据使用部门改造方案，本次需更换的线路区间、电缆规格及长度如下表：</w:t>
      </w:r>
    </w:p>
    <w:tbl>
      <w:tblPr>
        <w:tblStyle w:val="4"/>
        <w:tblW w:w="9026" w:type="dxa"/>
        <w:tblInd w:w="0" w:type="dxa"/>
        <w:tblBorders>
          <w:top w:val="single" w:color="8A9BA8" w:sz="6" w:space="0"/>
          <w:left w:val="single" w:color="8A9BA8" w:sz="6" w:space="0"/>
          <w:bottom w:val="single" w:color="8A9BA8" w:sz="6" w:space="0"/>
          <w:right w:val="single" w:color="8A9BA8" w:sz="6" w:space="0"/>
          <w:insideH w:val="single" w:color="8A9BA8" w:sz="4" w:space="0"/>
          <w:insideV w:val="single" w:color="8A9BA8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3563"/>
        <w:gridCol w:w="2663"/>
        <w:gridCol w:w="2100"/>
      </w:tblGrid>
      <w:tr w14:paraId="5625BF39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00" w:type="dxa"/>
            <w:shd w:val="clear" w:color="auto" w:fill="EEF1F4"/>
            <w:vAlign w:val="center"/>
          </w:tcPr>
          <w:p w14:paraId="4A7D81F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563" w:type="dxa"/>
            <w:shd w:val="clear" w:color="auto" w:fill="EEF1F4"/>
            <w:vAlign w:val="center"/>
          </w:tcPr>
          <w:p w14:paraId="37E93FE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敷设区间</w:t>
            </w:r>
          </w:p>
        </w:tc>
        <w:tc>
          <w:tcPr>
            <w:tcW w:w="2663" w:type="dxa"/>
            <w:shd w:val="clear" w:color="auto" w:fill="EEF1F4"/>
            <w:vAlign w:val="center"/>
          </w:tcPr>
          <w:p w14:paraId="313498E7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电缆规格</w:t>
            </w:r>
          </w:p>
        </w:tc>
        <w:tc>
          <w:tcPr>
            <w:tcW w:w="2100" w:type="dxa"/>
            <w:shd w:val="clear" w:color="auto" w:fill="EEF1F4"/>
            <w:vAlign w:val="center"/>
          </w:tcPr>
          <w:p w14:paraId="0DAE4576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长度（米）</w:t>
            </w:r>
          </w:p>
        </w:tc>
      </w:tr>
      <w:tr w14:paraId="7E258EDF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3D62B36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3563" w:type="dxa"/>
            <w:vAlign w:val="center"/>
          </w:tcPr>
          <w:p w14:paraId="72DAF9A7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图书馆至消防控制中心</w:t>
            </w:r>
          </w:p>
        </w:tc>
        <w:tc>
          <w:tcPr>
            <w:tcW w:w="2663" w:type="dxa"/>
            <w:vAlign w:val="center"/>
          </w:tcPr>
          <w:p w14:paraId="65B4470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6×2.5mm²</w:t>
            </w:r>
          </w:p>
        </w:tc>
        <w:tc>
          <w:tcPr>
            <w:tcW w:w="2100" w:type="dxa"/>
            <w:vAlign w:val="center"/>
          </w:tcPr>
          <w:p w14:paraId="6A2D98A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357</w:t>
            </w:r>
          </w:p>
        </w:tc>
      </w:tr>
      <w:tr w14:paraId="60E655EA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089C89E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3563" w:type="dxa"/>
            <w:vAlign w:val="center"/>
          </w:tcPr>
          <w:p w14:paraId="0638B37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眼博物馆至消防控制中心</w:t>
            </w:r>
          </w:p>
        </w:tc>
        <w:tc>
          <w:tcPr>
            <w:tcW w:w="2663" w:type="dxa"/>
            <w:vAlign w:val="center"/>
          </w:tcPr>
          <w:p w14:paraId="313A2CD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6×2.5mm²</w:t>
            </w:r>
          </w:p>
        </w:tc>
        <w:tc>
          <w:tcPr>
            <w:tcW w:w="2100" w:type="dxa"/>
            <w:vAlign w:val="center"/>
          </w:tcPr>
          <w:p w14:paraId="7D1FA57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535</w:t>
            </w:r>
          </w:p>
        </w:tc>
      </w:tr>
      <w:tr w14:paraId="732F4328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48560AF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</w:t>
            </w:r>
          </w:p>
        </w:tc>
        <w:tc>
          <w:tcPr>
            <w:tcW w:w="3563" w:type="dxa"/>
            <w:vAlign w:val="center"/>
          </w:tcPr>
          <w:p w14:paraId="49ED9E8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视光实训楼至消防控制中心</w:t>
            </w:r>
          </w:p>
        </w:tc>
        <w:tc>
          <w:tcPr>
            <w:tcW w:w="2663" w:type="dxa"/>
            <w:vAlign w:val="center"/>
          </w:tcPr>
          <w:p w14:paraId="334A7A7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4×2.5mm²</w:t>
            </w:r>
          </w:p>
        </w:tc>
        <w:tc>
          <w:tcPr>
            <w:tcW w:w="2100" w:type="dxa"/>
            <w:vAlign w:val="center"/>
          </w:tcPr>
          <w:p w14:paraId="2A090E73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637</w:t>
            </w:r>
          </w:p>
        </w:tc>
      </w:tr>
      <w:tr w14:paraId="7679D8FC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6DAB2CA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</w:t>
            </w:r>
          </w:p>
        </w:tc>
        <w:tc>
          <w:tcPr>
            <w:tcW w:w="3563" w:type="dxa"/>
            <w:vAlign w:val="center"/>
          </w:tcPr>
          <w:p w14:paraId="5FB0460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基础实训楼至消防控制中心</w:t>
            </w:r>
          </w:p>
        </w:tc>
        <w:tc>
          <w:tcPr>
            <w:tcW w:w="2663" w:type="dxa"/>
            <w:vAlign w:val="center"/>
          </w:tcPr>
          <w:p w14:paraId="373EC87C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4×2.5mm²</w:t>
            </w:r>
          </w:p>
        </w:tc>
        <w:tc>
          <w:tcPr>
            <w:tcW w:w="2100" w:type="dxa"/>
            <w:vAlign w:val="center"/>
          </w:tcPr>
          <w:p w14:paraId="0F0D9F7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640</w:t>
            </w:r>
          </w:p>
        </w:tc>
      </w:tr>
      <w:tr w14:paraId="75E990C1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277808E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</w:t>
            </w:r>
          </w:p>
        </w:tc>
        <w:tc>
          <w:tcPr>
            <w:tcW w:w="3563" w:type="dxa"/>
            <w:vAlign w:val="center"/>
          </w:tcPr>
          <w:p w14:paraId="591FE65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一号教学楼至二号教学楼</w:t>
            </w:r>
          </w:p>
        </w:tc>
        <w:tc>
          <w:tcPr>
            <w:tcW w:w="2663" w:type="dxa"/>
            <w:vAlign w:val="center"/>
          </w:tcPr>
          <w:p w14:paraId="4ACA874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8×2.5mm²</w:t>
            </w:r>
          </w:p>
        </w:tc>
        <w:tc>
          <w:tcPr>
            <w:tcW w:w="2100" w:type="dxa"/>
            <w:vAlign w:val="center"/>
          </w:tcPr>
          <w:p w14:paraId="51D8095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52</w:t>
            </w:r>
          </w:p>
        </w:tc>
      </w:tr>
      <w:tr w14:paraId="68D44BE4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6F40800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</w:t>
            </w:r>
          </w:p>
        </w:tc>
        <w:tc>
          <w:tcPr>
            <w:tcW w:w="3563" w:type="dxa"/>
            <w:vAlign w:val="center"/>
          </w:tcPr>
          <w:p w14:paraId="408B20C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三号教学楼至二号教学楼</w:t>
            </w:r>
          </w:p>
        </w:tc>
        <w:tc>
          <w:tcPr>
            <w:tcW w:w="2663" w:type="dxa"/>
            <w:vAlign w:val="center"/>
          </w:tcPr>
          <w:p w14:paraId="0A52F70E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8×2.5mm²</w:t>
            </w:r>
          </w:p>
        </w:tc>
        <w:tc>
          <w:tcPr>
            <w:tcW w:w="2100" w:type="dxa"/>
            <w:vAlign w:val="center"/>
          </w:tcPr>
          <w:p w14:paraId="727B6FC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209</w:t>
            </w:r>
          </w:p>
        </w:tc>
      </w:tr>
      <w:tr w14:paraId="053E4FC4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1637F5C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7</w:t>
            </w:r>
          </w:p>
        </w:tc>
        <w:tc>
          <w:tcPr>
            <w:tcW w:w="3563" w:type="dxa"/>
            <w:vAlign w:val="center"/>
          </w:tcPr>
          <w:p w14:paraId="3A99EF0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四号教学楼至二号教学楼</w:t>
            </w:r>
          </w:p>
        </w:tc>
        <w:tc>
          <w:tcPr>
            <w:tcW w:w="2663" w:type="dxa"/>
            <w:vAlign w:val="center"/>
          </w:tcPr>
          <w:p w14:paraId="561AAB0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8×2.5mm²</w:t>
            </w:r>
          </w:p>
        </w:tc>
        <w:tc>
          <w:tcPr>
            <w:tcW w:w="2100" w:type="dxa"/>
            <w:vAlign w:val="center"/>
          </w:tcPr>
          <w:p w14:paraId="17F622B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213</w:t>
            </w:r>
          </w:p>
        </w:tc>
      </w:tr>
      <w:tr w14:paraId="300DF382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2D97563C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</w:t>
            </w:r>
          </w:p>
        </w:tc>
        <w:tc>
          <w:tcPr>
            <w:tcW w:w="3563" w:type="dxa"/>
            <w:vAlign w:val="center"/>
          </w:tcPr>
          <w:p w14:paraId="002494BF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六舍、七舍至二号教学楼</w:t>
            </w:r>
          </w:p>
        </w:tc>
        <w:tc>
          <w:tcPr>
            <w:tcW w:w="2663" w:type="dxa"/>
            <w:vAlign w:val="center"/>
          </w:tcPr>
          <w:p w14:paraId="75C1A90F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6×2.5mm²</w:t>
            </w:r>
          </w:p>
        </w:tc>
        <w:tc>
          <w:tcPr>
            <w:tcW w:w="2100" w:type="dxa"/>
            <w:vAlign w:val="center"/>
          </w:tcPr>
          <w:p w14:paraId="45DB588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372</w:t>
            </w:r>
          </w:p>
        </w:tc>
      </w:tr>
      <w:tr w14:paraId="24818F07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7CEFF2D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</w:t>
            </w:r>
          </w:p>
        </w:tc>
        <w:tc>
          <w:tcPr>
            <w:tcW w:w="3563" w:type="dxa"/>
            <w:vAlign w:val="center"/>
          </w:tcPr>
          <w:p w14:paraId="423CDEA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十舍、十一舍至消防监控中心</w:t>
            </w:r>
          </w:p>
        </w:tc>
        <w:tc>
          <w:tcPr>
            <w:tcW w:w="2663" w:type="dxa"/>
            <w:vAlign w:val="center"/>
          </w:tcPr>
          <w:p w14:paraId="71EA2613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NH-KVV 6×2.5mm²</w:t>
            </w:r>
          </w:p>
        </w:tc>
        <w:tc>
          <w:tcPr>
            <w:tcW w:w="2100" w:type="dxa"/>
            <w:vAlign w:val="center"/>
          </w:tcPr>
          <w:p w14:paraId="3624A6BE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249</w:t>
            </w:r>
          </w:p>
        </w:tc>
      </w:tr>
      <w:tr w14:paraId="1748522D">
        <w:tblPrEx>
          <w:tblBorders>
            <w:top w:val="single" w:color="8A9BA8" w:sz="6" w:space="0"/>
            <w:left w:val="single" w:color="8A9BA8" w:sz="6" w:space="0"/>
            <w:bottom w:val="single" w:color="8A9BA8" w:sz="6" w:space="0"/>
            <w:right w:val="single" w:color="8A9BA8" w:sz="6" w:space="0"/>
            <w:insideH w:val="single" w:color="8A9BA8" w:sz="4" w:space="0"/>
            <w:insideV w:val="single" w:color="8A9BA8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vAlign w:val="center"/>
          </w:tcPr>
          <w:p w14:paraId="464DF57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3563" w:type="dxa"/>
            <w:vAlign w:val="center"/>
          </w:tcPr>
          <w:p w14:paraId="7825B26E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418D9CF7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1D96726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3264</w:t>
            </w:r>
          </w:p>
        </w:tc>
      </w:tr>
    </w:tbl>
    <w:p w14:paraId="76954F0D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注：上表为依据使用部门改造方案列示的预估内容，最终以工程量清单（附件）为准。所用电线电缆应为符合国家标准和设计要求的耐火型全新正品，随附产品合格证及检验报告，经发包人现场签署进场材料报验单后方可使用。</w:t>
      </w:r>
    </w:p>
    <w:p w14:paraId="35F833C8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四、系统对接与调试要求</w:t>
      </w:r>
    </w:p>
    <w:p w14:paraId="3F1F9A6F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 学校现有消防报警系统报警设备为上海松江品牌，投标人须掌握松江、海湾两大主流品牌消防设备的调试与维修技能，拟投入本项目的调试人员应熟悉该等品牌报警主机的编程、调试与故障处理；</w:t>
      </w:r>
    </w:p>
    <w:p w14:paraId="7C99B023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 更换线路须与消防联动报警主机可靠对接，完成回路定义、地址编码、联动逻辑检查及系统调试，确保接入后正常使用；</w:t>
      </w:r>
    </w:p>
    <w:p w14:paraId="482E41F7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 施工结束后，中标人须全程配合消防联动测试，确保整套系统在紧急状态下零延迟、无死角运行；</w:t>
      </w:r>
    </w:p>
    <w:p w14:paraId="4A712FD8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五、技术及质量标准</w:t>
      </w:r>
    </w:p>
    <w:p w14:paraId="6363B3C3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 《民用建筑电气设计标准》GB 51348-2019；</w:t>
      </w:r>
    </w:p>
    <w:p w14:paraId="484A3437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 《建筑设计防火规范》GB 50016-2014（2018年版）；</w:t>
      </w:r>
    </w:p>
    <w:p w14:paraId="60E4C2B3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 《消防设施通用规范》GB 55036-2022；</w:t>
      </w:r>
    </w:p>
    <w:p w14:paraId="00B8186A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 《建筑防火通用规范》GB 55037-2022；</w:t>
      </w:r>
    </w:p>
    <w:p w14:paraId="373F8B88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 《火灾自动报警系统设计规范》GB 50116-2013；</w:t>
      </w:r>
    </w:p>
    <w:p w14:paraId="08B0BE6B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6. 《消防应急照明和疏散指示系统技术标准》GB 51309-2018；</w:t>
      </w:r>
    </w:p>
    <w:p w14:paraId="6DFB5ED1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7. 其它有关国家及地方的现行规程、规范及标准。</w:t>
      </w:r>
    </w:p>
    <w:p w14:paraId="4324D2BF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六、验收标准</w:t>
      </w:r>
    </w:p>
    <w:p w14:paraId="4BB7374C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按国家现行建筑工程施工质量验收标准及上述技术规范进行验收，包括并不限于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《建院工程施工验收标准汇编》、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《火灾自动报警系统施工及验收标准》GB 50166-2019。</w:t>
      </w:r>
    </w:p>
    <w:p w14:paraId="1AC205EE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七、工期要求</w:t>
      </w:r>
    </w:p>
    <w:p w14:paraId="22E03557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 工期：20日历天，具体开竣工时间以合同约定为准。</w:t>
      </w:r>
    </w:p>
    <w:p w14:paraId="726DA22B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 施工须避开正常教学时段。</w:t>
      </w:r>
    </w:p>
    <w:p w14:paraId="5ADEF977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八、质保要求</w:t>
      </w:r>
    </w:p>
    <w:p w14:paraId="6B2663FF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 工程质保期2年，自竣工验收合格之日起算。</w:t>
      </w:r>
    </w:p>
    <w:p w14:paraId="281F1B81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 设备质保期2年，自竣工验收合格之日起算。</w:t>
      </w:r>
    </w:p>
    <w:p w14:paraId="58189574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九、变更与签证</w:t>
      </w:r>
    </w:p>
    <w:p w14:paraId="452656BF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变更及现场签证按学校制度执行。</w:t>
      </w:r>
    </w:p>
    <w:p w14:paraId="41B12771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、其他交易条件</w:t>
      </w:r>
    </w:p>
    <w:p w14:paraId="3A55FE86"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包含安全文明施工、成品保护、垃圾清运、现场围挡及师生通行疏导等。</w:t>
      </w:r>
    </w:p>
    <w:p w14:paraId="5E88CB55"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十一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评审方法</w:t>
      </w:r>
    </w:p>
    <w:p w14:paraId="305CA5B3">
      <w:pPr>
        <w:rPr>
          <w:rFonts w:hint="eastAsia" w:ascii="仿宋" w:hAnsi="仿宋" w:eastAsia="仿宋" w:cs="仿宋"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经评审的最低投标价法</w:t>
      </w:r>
    </w:p>
    <w:p w14:paraId="50FAB83C">
      <w:pPr>
        <w:rPr>
          <w:rFonts w:hint="default"/>
          <w:color w:val="auto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EA3A5F"/>
    <w:rsid w:val="33DF20EB"/>
    <w:rsid w:val="46AB33FF"/>
    <w:rsid w:val="49BC0084"/>
    <w:rsid w:val="51EE2C1B"/>
    <w:rsid w:val="520C2808"/>
    <w:rsid w:val="681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line="360" w:lineRule="auto"/>
      <w:ind w:firstLine="480"/>
    </w:pPr>
    <w:rPr>
      <w:rFonts w:ascii="Times New Roman" w:hAnsi="Times New Roman" w:eastAsia="宋体" w:cs="Times New Roman"/>
      <w:color w:val="262626"/>
      <w:sz w:val="24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60" w:after="300"/>
      <w:ind w:firstLine="0"/>
      <w:jc w:val="center"/>
      <w:outlineLvl w:val="0"/>
    </w:pPr>
    <w:rPr>
      <w:rFonts w:ascii="Times New Roman" w:hAnsi="Times New Roman" w:eastAsia="黑体"/>
      <w:b/>
      <w:color w:val="33424E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80" w:after="160"/>
      <w:ind w:firstLine="0"/>
      <w:outlineLvl w:val="1"/>
    </w:pPr>
    <w:rPr>
      <w:rFonts w:ascii="Times New Roman" w:hAnsi="Times New Roman" w:eastAsia="黑体"/>
      <w:b/>
      <w:color w:val="33424E"/>
      <w:sz w:val="2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898</Words>
  <Characters>1111</Characters>
  <Lines>0</Lines>
  <Paragraphs>0</Paragraphs>
  <TotalTime>0</TotalTime>
  <ScaleCrop>false</ScaleCrop>
  <LinksUpToDate>false</LinksUpToDate>
  <CharactersWithSpaces>1145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2026-08-08T18:36:00Z</dcterms:created>
  <dc:creator>28721</dc:creator>
  <cp:lastModifiedBy>RO</cp:lastModifiedBy>
  <dcterms:modified xsi:type="dcterms:W3CDTF">2026-08-11T01:27:24Z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eyJoZGlkIjoiN2EzZjdmN2ZiZDE5ZWE0MGNkYjY0YWM4OGRkNDAyOGIiLCJ1c2VySWQiOiIxODE4NDg4NDI1In0=</vt:lpwstr>
  </property>
  <property fmtid="{D5CDD505-2E9C-101B-9397-08002B2CF9AE}" pid="4" name="ICV">
    <vt:lpwstr>42D4EB391F334E1DA0D855C5BC5EE1CB_12</vt:lpwstr>
  </property>
</Properties>
</file>