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97767">
      <w:pPr>
        <w:keepNext w:val="0"/>
        <w:keepLines w:val="0"/>
        <w:pageBreakBefore w:val="0"/>
        <w:widowControl/>
        <w:kinsoku/>
        <w:wordWrap/>
        <w:overflowPunct/>
        <w:topLinePunct w:val="0"/>
        <w:autoSpaceDE/>
        <w:autoSpaceDN/>
        <w:bidi w:val="0"/>
        <w:adjustRightInd/>
        <w:snapToGrid/>
        <w:spacing w:line="240" w:lineRule="auto"/>
        <w:ind w:firstLine="482"/>
        <w:jc w:val="center"/>
        <w:textAlignment w:val="auto"/>
        <w:rPr>
          <w:rFonts w:hint="eastAsia" w:ascii="黑体" w:hAnsi="黑体" w:eastAsia="黑体" w:cs="黑体"/>
          <w:b/>
          <w:bCs/>
          <w:color w:val="auto"/>
          <w:sz w:val="32"/>
          <w:szCs w:val="32"/>
          <w:lang w:val="en-US"/>
        </w:rPr>
      </w:pPr>
      <w:bookmarkStart w:id="0" w:name="_Toc26731"/>
      <w:r>
        <w:rPr>
          <w:rFonts w:hint="eastAsia" w:ascii="黑体" w:hAnsi="黑体" w:eastAsia="黑体" w:cs="黑体"/>
          <w:b/>
          <w:bCs/>
          <w:color w:val="auto"/>
          <w:sz w:val="32"/>
          <w:szCs w:val="32"/>
          <w:lang w:val="en-US"/>
        </w:rPr>
        <w:t>　项目需求及技术要求</w:t>
      </w:r>
      <w:bookmarkEnd w:id="0"/>
      <w:bookmarkStart w:id="1" w:name="_Toc9022"/>
      <w:bookmarkEnd w:id="1"/>
    </w:p>
    <w:p w14:paraId="623CC23C">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bookmarkStart w:id="2" w:name="_Toc19893"/>
    </w:p>
    <w:p w14:paraId="3F0F3B46">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一、项目概况及楼宇信息</w:t>
      </w:r>
      <w:bookmarkEnd w:id="2"/>
      <w:bookmarkStart w:id="3" w:name="_Toc8023"/>
      <w:bookmarkEnd w:id="3"/>
    </w:p>
    <w:p w14:paraId="5957FCE3">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为改善教学与办公环境，经党政联席会第二次会议批准，对行政楼、食堂二楼、1#教学楼、2#教学楼实施空调系统加装改造，图书馆安装吊扇、壁扇。各楼宇基本情况如下：</w:t>
      </w:r>
    </w:p>
    <w:tbl>
      <w:tblPr>
        <w:tblStyle w:val="4"/>
        <w:tblW w:w="8326" w:type="dxa"/>
        <w:tblInd w:w="0" w:type="dxa"/>
        <w:tblBorders>
          <w:top w:val="single" w:color="33424E" w:sz="8" w:space="0"/>
          <w:left w:val="single" w:color="C9C2B6" w:sz="4" w:space="0"/>
          <w:bottom w:val="single" w:color="33424E" w:sz="8" w:space="0"/>
          <w:right w:val="single" w:color="C9C2B6" w:sz="4" w:space="0"/>
          <w:insideH w:val="single" w:color="C9C2B6" w:sz="4" w:space="0"/>
          <w:insideV w:val="single" w:color="C9C2B6" w:sz="4" w:space="0"/>
        </w:tblBorders>
        <w:tblLayout w:type="autofit"/>
        <w:tblCellMar>
          <w:top w:w="0" w:type="dxa"/>
          <w:left w:w="10" w:type="dxa"/>
          <w:bottom w:w="0" w:type="dxa"/>
          <w:right w:w="10" w:type="dxa"/>
        </w:tblCellMar>
      </w:tblPr>
      <w:tblGrid>
        <w:gridCol w:w="642"/>
        <w:gridCol w:w="1511"/>
        <w:gridCol w:w="1321"/>
        <w:gridCol w:w="1226"/>
        <w:gridCol w:w="1250"/>
        <w:gridCol w:w="1511"/>
        <w:gridCol w:w="865"/>
      </w:tblGrid>
      <w:tr w14:paraId="0D4ECB50">
        <w:tblPrEx>
          <w:tblBorders>
            <w:top w:val="single" w:color="33424E" w:sz="8" w:space="0"/>
            <w:left w:val="single" w:color="C9C2B6" w:sz="4" w:space="0"/>
            <w:bottom w:val="single" w:color="33424E" w:sz="8" w:space="0"/>
            <w:right w:val="single" w:color="C9C2B6" w:sz="4" w:space="0"/>
            <w:insideH w:val="single" w:color="C9C2B6" w:sz="4" w:space="0"/>
            <w:insideV w:val="single" w:color="C9C2B6" w:sz="4" w:space="0"/>
          </w:tblBorders>
          <w:tblCellMar>
            <w:top w:w="0" w:type="dxa"/>
            <w:left w:w="10" w:type="dxa"/>
            <w:bottom w:w="0" w:type="dxa"/>
            <w:right w:w="10" w:type="dxa"/>
          </w:tblCellMar>
        </w:tblPrEx>
        <w:trPr>
          <w:tblHeader/>
        </w:trPr>
        <w:tc>
          <w:tcPr>
            <w:tcW w:w="700" w:type="dxa"/>
            <w:shd w:val="clear" w:color="auto" w:fill="EFEBE3"/>
            <w:vAlign w:val="center"/>
          </w:tcPr>
          <w:p w14:paraId="48345FA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序号</w:t>
            </w:r>
          </w:p>
        </w:tc>
        <w:tc>
          <w:tcPr>
            <w:tcW w:w="1700" w:type="dxa"/>
            <w:shd w:val="clear" w:color="auto" w:fill="EFEBE3"/>
            <w:vAlign w:val="center"/>
          </w:tcPr>
          <w:p w14:paraId="7AE3C99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楼宇</w:t>
            </w:r>
          </w:p>
        </w:tc>
        <w:tc>
          <w:tcPr>
            <w:tcW w:w="1400" w:type="dxa"/>
            <w:shd w:val="clear" w:color="auto" w:fill="EFEBE3"/>
            <w:vAlign w:val="center"/>
          </w:tcPr>
          <w:p w14:paraId="338726E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建筑面积</w:t>
            </w:r>
          </w:p>
          <w:p w14:paraId="3EAF75E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w:t>
            </w:r>
          </w:p>
        </w:tc>
        <w:tc>
          <w:tcPr>
            <w:tcW w:w="1300" w:type="dxa"/>
            <w:shd w:val="clear" w:color="auto" w:fill="EFEBE3"/>
            <w:vAlign w:val="center"/>
          </w:tcPr>
          <w:p w14:paraId="0F26954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制冷面积</w:t>
            </w:r>
          </w:p>
          <w:p w14:paraId="49AC930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w:t>
            </w:r>
          </w:p>
        </w:tc>
        <w:tc>
          <w:tcPr>
            <w:tcW w:w="1400" w:type="dxa"/>
            <w:shd w:val="clear" w:color="auto" w:fill="EFEBE3"/>
            <w:vAlign w:val="center"/>
          </w:tcPr>
          <w:p w14:paraId="1B24122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制冷方式</w:t>
            </w:r>
          </w:p>
        </w:tc>
        <w:tc>
          <w:tcPr>
            <w:tcW w:w="1700" w:type="dxa"/>
            <w:shd w:val="clear" w:color="auto" w:fill="EFEBE3"/>
            <w:vAlign w:val="center"/>
          </w:tcPr>
          <w:p w14:paraId="16FBA26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末端形式</w:t>
            </w:r>
          </w:p>
        </w:tc>
        <w:tc>
          <w:tcPr>
            <w:tcW w:w="900" w:type="dxa"/>
            <w:shd w:val="clear" w:color="auto" w:fill="EFEBE3"/>
            <w:vAlign w:val="center"/>
          </w:tcPr>
          <w:p w14:paraId="0BF417D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电力接驳</w:t>
            </w:r>
          </w:p>
        </w:tc>
      </w:tr>
      <w:tr w14:paraId="6A50295D">
        <w:tblPrEx>
          <w:tblBorders>
            <w:top w:val="single" w:color="33424E" w:sz="8" w:space="0"/>
            <w:left w:val="single" w:color="C9C2B6" w:sz="4" w:space="0"/>
            <w:bottom w:val="single" w:color="33424E" w:sz="8" w:space="0"/>
            <w:right w:val="single" w:color="C9C2B6" w:sz="4" w:space="0"/>
            <w:insideH w:val="single" w:color="C9C2B6" w:sz="4" w:space="0"/>
            <w:insideV w:val="single" w:color="C9C2B6" w:sz="4" w:space="0"/>
          </w:tblBorders>
          <w:tblCellMar>
            <w:top w:w="0" w:type="dxa"/>
            <w:left w:w="10" w:type="dxa"/>
            <w:bottom w:w="0" w:type="dxa"/>
            <w:right w:w="10" w:type="dxa"/>
          </w:tblCellMar>
        </w:tblPrEx>
        <w:tc>
          <w:tcPr>
            <w:tcW w:w="700" w:type="dxa"/>
            <w:vAlign w:val="center"/>
          </w:tcPr>
          <w:p w14:paraId="3794868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1</w:t>
            </w:r>
          </w:p>
        </w:tc>
        <w:tc>
          <w:tcPr>
            <w:tcW w:w="1700" w:type="dxa"/>
            <w:vAlign w:val="center"/>
          </w:tcPr>
          <w:p w14:paraId="34A508B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color w:val="auto"/>
                <w:lang w:val="en-US"/>
              </w:rPr>
            </w:pPr>
            <w:r>
              <w:rPr>
                <w:rFonts w:hint="default"/>
                <w:color w:val="auto"/>
                <w:lang w:val="en-US"/>
              </w:rPr>
              <w:t>行政楼</w:t>
            </w:r>
          </w:p>
        </w:tc>
        <w:tc>
          <w:tcPr>
            <w:tcW w:w="1400" w:type="dxa"/>
            <w:vAlign w:val="center"/>
          </w:tcPr>
          <w:p w14:paraId="656F6E9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right"/>
              <w:textAlignment w:val="auto"/>
              <w:rPr>
                <w:rFonts w:hint="default"/>
                <w:color w:val="auto"/>
                <w:lang w:val="en-US"/>
              </w:rPr>
            </w:pPr>
            <w:r>
              <w:rPr>
                <w:rFonts w:hint="default"/>
                <w:color w:val="auto"/>
                <w:lang w:val="en-US"/>
              </w:rPr>
              <w:t>6615.58</w:t>
            </w:r>
          </w:p>
        </w:tc>
        <w:tc>
          <w:tcPr>
            <w:tcW w:w="1300" w:type="dxa"/>
            <w:vAlign w:val="center"/>
          </w:tcPr>
          <w:p w14:paraId="0105E17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right"/>
              <w:textAlignment w:val="auto"/>
              <w:rPr>
                <w:rFonts w:hint="default"/>
                <w:color w:val="auto"/>
                <w:lang w:val="en-US"/>
              </w:rPr>
            </w:pPr>
            <w:r>
              <w:rPr>
                <w:rFonts w:hint="default"/>
                <w:color w:val="auto"/>
                <w:lang w:val="en-US"/>
              </w:rPr>
              <w:t>1716</w:t>
            </w:r>
          </w:p>
        </w:tc>
        <w:tc>
          <w:tcPr>
            <w:tcW w:w="1400" w:type="dxa"/>
            <w:vAlign w:val="center"/>
          </w:tcPr>
          <w:p w14:paraId="4E99144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多联机</w:t>
            </w:r>
          </w:p>
        </w:tc>
        <w:tc>
          <w:tcPr>
            <w:tcW w:w="1700" w:type="dxa"/>
            <w:vAlign w:val="center"/>
          </w:tcPr>
          <w:p w14:paraId="556BA7B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color w:val="auto"/>
                <w:lang w:val="en-US"/>
              </w:rPr>
            </w:pPr>
            <w:r>
              <w:rPr>
                <w:rFonts w:hint="default"/>
                <w:color w:val="auto"/>
                <w:lang w:val="en-US"/>
              </w:rPr>
              <w:t>风机盘管</w:t>
            </w:r>
          </w:p>
        </w:tc>
        <w:tc>
          <w:tcPr>
            <w:tcW w:w="900" w:type="dxa"/>
            <w:vAlign w:val="center"/>
          </w:tcPr>
          <w:p w14:paraId="7C68596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630×3</w:t>
            </w:r>
          </w:p>
        </w:tc>
      </w:tr>
      <w:tr w14:paraId="58B90A03">
        <w:tblPrEx>
          <w:tblBorders>
            <w:top w:val="single" w:color="33424E" w:sz="8" w:space="0"/>
            <w:left w:val="single" w:color="C9C2B6" w:sz="4" w:space="0"/>
            <w:bottom w:val="single" w:color="33424E" w:sz="8" w:space="0"/>
            <w:right w:val="single" w:color="C9C2B6" w:sz="4" w:space="0"/>
            <w:insideH w:val="single" w:color="C9C2B6" w:sz="4" w:space="0"/>
            <w:insideV w:val="single" w:color="C9C2B6" w:sz="4" w:space="0"/>
          </w:tblBorders>
          <w:tblCellMar>
            <w:top w:w="0" w:type="dxa"/>
            <w:left w:w="10" w:type="dxa"/>
            <w:bottom w:w="0" w:type="dxa"/>
            <w:right w:w="10" w:type="dxa"/>
          </w:tblCellMar>
        </w:tblPrEx>
        <w:tc>
          <w:tcPr>
            <w:tcW w:w="700" w:type="dxa"/>
            <w:vAlign w:val="center"/>
          </w:tcPr>
          <w:p w14:paraId="0809DBD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2</w:t>
            </w:r>
          </w:p>
        </w:tc>
        <w:tc>
          <w:tcPr>
            <w:tcW w:w="1700" w:type="dxa"/>
            <w:vAlign w:val="center"/>
          </w:tcPr>
          <w:p w14:paraId="6A114FD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color w:val="auto"/>
                <w:lang w:val="en-US"/>
              </w:rPr>
            </w:pPr>
            <w:r>
              <w:rPr>
                <w:rFonts w:hint="default"/>
                <w:color w:val="auto"/>
                <w:lang w:val="en-US"/>
              </w:rPr>
              <w:t>食堂二楼</w:t>
            </w:r>
          </w:p>
        </w:tc>
        <w:tc>
          <w:tcPr>
            <w:tcW w:w="1400" w:type="dxa"/>
            <w:vAlign w:val="center"/>
          </w:tcPr>
          <w:p w14:paraId="1DBAA4A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right"/>
              <w:textAlignment w:val="auto"/>
              <w:rPr>
                <w:rFonts w:hint="default"/>
                <w:color w:val="auto"/>
                <w:lang w:val="en-US"/>
              </w:rPr>
            </w:pPr>
            <w:r>
              <w:rPr>
                <w:rFonts w:hint="default"/>
                <w:color w:val="auto"/>
                <w:lang w:val="en-US"/>
              </w:rPr>
              <w:t>6156.59</w:t>
            </w:r>
          </w:p>
        </w:tc>
        <w:tc>
          <w:tcPr>
            <w:tcW w:w="1300" w:type="dxa"/>
            <w:vAlign w:val="center"/>
          </w:tcPr>
          <w:p w14:paraId="76E2D43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right"/>
              <w:textAlignment w:val="auto"/>
              <w:rPr>
                <w:rFonts w:hint="default"/>
                <w:color w:val="auto"/>
                <w:lang w:val="en-US"/>
              </w:rPr>
            </w:pPr>
            <w:r>
              <w:rPr>
                <w:rFonts w:hint="default"/>
                <w:color w:val="auto"/>
                <w:lang w:val="en-US"/>
              </w:rPr>
              <w:t>1336</w:t>
            </w:r>
          </w:p>
        </w:tc>
        <w:tc>
          <w:tcPr>
            <w:tcW w:w="1400" w:type="dxa"/>
            <w:vAlign w:val="center"/>
          </w:tcPr>
          <w:p w14:paraId="5E17DAF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多联机</w:t>
            </w:r>
          </w:p>
        </w:tc>
        <w:tc>
          <w:tcPr>
            <w:tcW w:w="1700" w:type="dxa"/>
            <w:vAlign w:val="center"/>
          </w:tcPr>
          <w:p w14:paraId="4DF1921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color w:val="auto"/>
                <w:lang w:val="en-US"/>
              </w:rPr>
            </w:pPr>
            <w:r>
              <w:rPr>
                <w:rFonts w:hint="default"/>
                <w:color w:val="auto"/>
                <w:lang w:val="en-US"/>
              </w:rPr>
              <w:t>落地式上出风</w:t>
            </w:r>
          </w:p>
        </w:tc>
        <w:tc>
          <w:tcPr>
            <w:tcW w:w="900" w:type="dxa"/>
            <w:vAlign w:val="center"/>
          </w:tcPr>
          <w:p w14:paraId="10DAB02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新增容箱变</w:t>
            </w:r>
          </w:p>
        </w:tc>
      </w:tr>
      <w:tr w14:paraId="4CB32D8E">
        <w:tblPrEx>
          <w:tblBorders>
            <w:top w:val="single" w:color="33424E" w:sz="8" w:space="0"/>
            <w:left w:val="single" w:color="C9C2B6" w:sz="4" w:space="0"/>
            <w:bottom w:val="single" w:color="33424E" w:sz="8" w:space="0"/>
            <w:right w:val="single" w:color="C9C2B6" w:sz="4" w:space="0"/>
            <w:insideH w:val="single" w:color="C9C2B6" w:sz="4" w:space="0"/>
            <w:insideV w:val="single" w:color="C9C2B6" w:sz="4" w:space="0"/>
          </w:tblBorders>
          <w:tblCellMar>
            <w:top w:w="0" w:type="dxa"/>
            <w:left w:w="10" w:type="dxa"/>
            <w:bottom w:w="0" w:type="dxa"/>
            <w:right w:w="10" w:type="dxa"/>
          </w:tblCellMar>
        </w:tblPrEx>
        <w:tc>
          <w:tcPr>
            <w:tcW w:w="700" w:type="dxa"/>
            <w:vAlign w:val="center"/>
          </w:tcPr>
          <w:p w14:paraId="3A4BA64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3</w:t>
            </w:r>
          </w:p>
        </w:tc>
        <w:tc>
          <w:tcPr>
            <w:tcW w:w="1700" w:type="dxa"/>
            <w:vAlign w:val="center"/>
          </w:tcPr>
          <w:p w14:paraId="3292245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color w:val="auto"/>
                <w:lang w:val="en-US"/>
              </w:rPr>
            </w:pPr>
            <w:r>
              <w:rPr>
                <w:rFonts w:hint="default"/>
                <w:color w:val="auto"/>
                <w:lang w:val="en-US"/>
              </w:rPr>
              <w:t>1#教学楼</w:t>
            </w:r>
          </w:p>
        </w:tc>
        <w:tc>
          <w:tcPr>
            <w:tcW w:w="1400" w:type="dxa"/>
            <w:vAlign w:val="center"/>
          </w:tcPr>
          <w:p w14:paraId="1E26AC6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right"/>
              <w:textAlignment w:val="auto"/>
              <w:rPr>
                <w:rFonts w:hint="default"/>
                <w:color w:val="auto"/>
                <w:lang w:val="en-US"/>
              </w:rPr>
            </w:pPr>
            <w:r>
              <w:rPr>
                <w:rFonts w:hint="default"/>
                <w:color w:val="auto"/>
                <w:lang w:val="en-US"/>
              </w:rPr>
              <w:t>5469.62</w:t>
            </w:r>
          </w:p>
        </w:tc>
        <w:tc>
          <w:tcPr>
            <w:tcW w:w="1300" w:type="dxa"/>
            <w:vAlign w:val="center"/>
          </w:tcPr>
          <w:p w14:paraId="5F70554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right"/>
              <w:textAlignment w:val="auto"/>
              <w:rPr>
                <w:rFonts w:hint="default"/>
                <w:color w:val="auto"/>
                <w:lang w:val="en-US"/>
              </w:rPr>
            </w:pPr>
            <w:r>
              <w:rPr>
                <w:rFonts w:hint="default"/>
                <w:color w:val="auto"/>
                <w:lang w:val="en-US"/>
              </w:rPr>
              <w:t>2464.5</w:t>
            </w:r>
          </w:p>
        </w:tc>
        <w:tc>
          <w:tcPr>
            <w:tcW w:w="1400" w:type="dxa"/>
            <w:vAlign w:val="center"/>
          </w:tcPr>
          <w:p w14:paraId="3B2FD1E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单体机</w:t>
            </w:r>
          </w:p>
        </w:tc>
        <w:tc>
          <w:tcPr>
            <w:tcW w:w="1700" w:type="dxa"/>
            <w:vAlign w:val="center"/>
          </w:tcPr>
          <w:p w14:paraId="1B44124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color w:val="auto"/>
                <w:lang w:val="en-US"/>
              </w:rPr>
            </w:pPr>
            <w:r>
              <w:rPr>
                <w:rFonts w:hint="default"/>
                <w:color w:val="auto"/>
                <w:lang w:val="en-US"/>
              </w:rPr>
              <w:t>卡盘式</w:t>
            </w:r>
          </w:p>
        </w:tc>
        <w:tc>
          <w:tcPr>
            <w:tcW w:w="900" w:type="dxa"/>
            <w:vAlign w:val="center"/>
          </w:tcPr>
          <w:p w14:paraId="37D2691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630×3</w:t>
            </w:r>
          </w:p>
        </w:tc>
      </w:tr>
      <w:tr w14:paraId="3447D698">
        <w:tblPrEx>
          <w:tblBorders>
            <w:top w:val="single" w:color="33424E" w:sz="8" w:space="0"/>
            <w:left w:val="single" w:color="C9C2B6" w:sz="4" w:space="0"/>
            <w:bottom w:val="single" w:color="33424E" w:sz="8" w:space="0"/>
            <w:right w:val="single" w:color="C9C2B6" w:sz="4" w:space="0"/>
            <w:insideH w:val="single" w:color="C9C2B6" w:sz="4" w:space="0"/>
            <w:insideV w:val="single" w:color="C9C2B6" w:sz="4" w:space="0"/>
          </w:tblBorders>
        </w:tblPrEx>
        <w:tc>
          <w:tcPr>
            <w:tcW w:w="700" w:type="dxa"/>
            <w:vAlign w:val="center"/>
          </w:tcPr>
          <w:p w14:paraId="08BBF55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4</w:t>
            </w:r>
          </w:p>
        </w:tc>
        <w:tc>
          <w:tcPr>
            <w:tcW w:w="1700" w:type="dxa"/>
            <w:vAlign w:val="center"/>
          </w:tcPr>
          <w:p w14:paraId="51A4939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color w:val="auto"/>
                <w:lang w:val="en-US"/>
              </w:rPr>
            </w:pPr>
            <w:r>
              <w:rPr>
                <w:rFonts w:hint="default"/>
                <w:color w:val="auto"/>
                <w:lang w:val="en-US"/>
              </w:rPr>
              <w:t>2#教学楼</w:t>
            </w:r>
          </w:p>
        </w:tc>
        <w:tc>
          <w:tcPr>
            <w:tcW w:w="1400" w:type="dxa"/>
            <w:vAlign w:val="center"/>
          </w:tcPr>
          <w:p w14:paraId="5D97FE8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right"/>
              <w:textAlignment w:val="auto"/>
              <w:rPr>
                <w:rFonts w:hint="default"/>
                <w:color w:val="auto"/>
                <w:lang w:val="en-US"/>
              </w:rPr>
            </w:pPr>
            <w:r>
              <w:rPr>
                <w:rFonts w:hint="default"/>
                <w:color w:val="auto"/>
                <w:lang w:val="en-US"/>
              </w:rPr>
              <w:t>5026.49</w:t>
            </w:r>
          </w:p>
        </w:tc>
        <w:tc>
          <w:tcPr>
            <w:tcW w:w="1300" w:type="dxa"/>
            <w:vAlign w:val="center"/>
          </w:tcPr>
          <w:p w14:paraId="7090ED8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right"/>
              <w:textAlignment w:val="auto"/>
              <w:rPr>
                <w:rFonts w:hint="default"/>
                <w:color w:val="auto"/>
                <w:lang w:val="en-US"/>
              </w:rPr>
            </w:pPr>
            <w:r>
              <w:rPr>
                <w:rFonts w:hint="default"/>
                <w:color w:val="auto"/>
                <w:lang w:val="en-US"/>
              </w:rPr>
              <w:t>2571.5</w:t>
            </w:r>
          </w:p>
        </w:tc>
        <w:tc>
          <w:tcPr>
            <w:tcW w:w="1400" w:type="dxa"/>
            <w:vAlign w:val="center"/>
          </w:tcPr>
          <w:p w14:paraId="0799B8B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单体机</w:t>
            </w:r>
          </w:p>
        </w:tc>
        <w:tc>
          <w:tcPr>
            <w:tcW w:w="1700" w:type="dxa"/>
            <w:vAlign w:val="center"/>
          </w:tcPr>
          <w:p w14:paraId="2072C43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color w:val="auto"/>
                <w:lang w:val="en-US"/>
              </w:rPr>
            </w:pPr>
            <w:r>
              <w:rPr>
                <w:rFonts w:hint="default"/>
                <w:color w:val="auto"/>
                <w:lang w:val="en-US"/>
              </w:rPr>
              <w:t>卡盘式</w:t>
            </w:r>
          </w:p>
        </w:tc>
        <w:tc>
          <w:tcPr>
            <w:tcW w:w="900" w:type="dxa"/>
            <w:vAlign w:val="center"/>
          </w:tcPr>
          <w:p w14:paraId="7F46307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630×3</w:t>
            </w:r>
          </w:p>
        </w:tc>
      </w:tr>
      <w:tr w14:paraId="5170F9C4">
        <w:tblPrEx>
          <w:tblBorders>
            <w:top w:val="single" w:color="33424E" w:sz="8" w:space="0"/>
            <w:left w:val="single" w:color="C9C2B6" w:sz="4" w:space="0"/>
            <w:bottom w:val="single" w:color="33424E" w:sz="8" w:space="0"/>
            <w:right w:val="single" w:color="C9C2B6" w:sz="4" w:space="0"/>
            <w:insideH w:val="single" w:color="C9C2B6" w:sz="4" w:space="0"/>
            <w:insideV w:val="single" w:color="C9C2B6" w:sz="4" w:space="0"/>
          </w:tblBorders>
          <w:tblCellMar>
            <w:top w:w="0" w:type="dxa"/>
            <w:left w:w="10" w:type="dxa"/>
            <w:bottom w:w="0" w:type="dxa"/>
            <w:right w:w="10" w:type="dxa"/>
          </w:tblCellMar>
        </w:tblPrEx>
        <w:tc>
          <w:tcPr>
            <w:tcW w:w="700" w:type="dxa"/>
            <w:vAlign w:val="center"/>
          </w:tcPr>
          <w:p w14:paraId="4465F49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5</w:t>
            </w:r>
          </w:p>
        </w:tc>
        <w:tc>
          <w:tcPr>
            <w:tcW w:w="1700" w:type="dxa"/>
            <w:vAlign w:val="center"/>
          </w:tcPr>
          <w:p w14:paraId="07BB638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color w:val="auto"/>
                <w:lang w:val="en-US"/>
              </w:rPr>
            </w:pPr>
            <w:r>
              <w:rPr>
                <w:rFonts w:hint="default"/>
                <w:color w:val="auto"/>
                <w:lang w:val="en-US"/>
              </w:rPr>
              <w:t>图书馆</w:t>
            </w:r>
          </w:p>
        </w:tc>
        <w:tc>
          <w:tcPr>
            <w:tcW w:w="1400" w:type="dxa"/>
            <w:vAlign w:val="center"/>
          </w:tcPr>
          <w:p w14:paraId="0542243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right"/>
              <w:textAlignment w:val="auto"/>
              <w:rPr>
                <w:rFonts w:hint="default"/>
                <w:color w:val="auto"/>
                <w:lang w:val="en-US"/>
              </w:rPr>
            </w:pPr>
            <w:r>
              <w:rPr>
                <w:rFonts w:hint="default"/>
                <w:color w:val="auto"/>
                <w:lang w:val="en-US"/>
              </w:rPr>
              <w:t>6101</w:t>
            </w:r>
          </w:p>
        </w:tc>
        <w:tc>
          <w:tcPr>
            <w:tcW w:w="1300" w:type="dxa"/>
            <w:vAlign w:val="center"/>
          </w:tcPr>
          <w:p w14:paraId="1E76DC4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right"/>
              <w:textAlignment w:val="auto"/>
              <w:rPr>
                <w:rFonts w:hint="default"/>
                <w:color w:val="auto"/>
                <w:lang w:val="en-US"/>
              </w:rPr>
            </w:pPr>
            <w:r>
              <w:rPr>
                <w:rFonts w:hint="default"/>
                <w:color w:val="auto"/>
                <w:lang w:val="en-US"/>
              </w:rPr>
              <w:t>—</w:t>
            </w:r>
          </w:p>
        </w:tc>
        <w:tc>
          <w:tcPr>
            <w:tcW w:w="1400" w:type="dxa"/>
            <w:vAlign w:val="center"/>
          </w:tcPr>
          <w:p w14:paraId="274D0BD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风扇</w:t>
            </w:r>
          </w:p>
        </w:tc>
        <w:tc>
          <w:tcPr>
            <w:tcW w:w="1700" w:type="dxa"/>
            <w:vAlign w:val="center"/>
          </w:tcPr>
          <w:p w14:paraId="2D5E130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color w:val="auto"/>
                <w:lang w:val="en-US"/>
              </w:rPr>
            </w:pPr>
            <w:r>
              <w:rPr>
                <w:rFonts w:hint="default"/>
                <w:color w:val="auto"/>
                <w:lang w:val="en-US"/>
              </w:rPr>
              <w:t>吊扇＋壁扇</w:t>
            </w:r>
          </w:p>
        </w:tc>
        <w:tc>
          <w:tcPr>
            <w:tcW w:w="900" w:type="dxa"/>
            <w:vAlign w:val="center"/>
          </w:tcPr>
          <w:p w14:paraId="04EE9D1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lang w:val="en-US"/>
              </w:rPr>
            </w:pPr>
            <w:r>
              <w:rPr>
                <w:rFonts w:hint="default"/>
                <w:color w:val="auto"/>
                <w:lang w:val="en-US"/>
              </w:rPr>
              <w:t>室内就近</w:t>
            </w:r>
          </w:p>
        </w:tc>
      </w:tr>
    </w:tbl>
    <w:p w14:paraId="3769DF9C">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注：各楼宇逐房间面积、吊顶形式详见随本文件发布的《空调招标项目信息一览表》及现状图纸、照片。图书馆风扇配置：吊扇32台、壁扇18台、落地扇4台，分层数量以一览表为准。</w:t>
      </w:r>
    </w:p>
    <w:p w14:paraId="409B803E">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招标范围</w:t>
      </w:r>
      <w:r>
        <w:rPr>
          <w:rFonts w:hint="eastAsia"/>
          <w:color w:val="auto"/>
          <w:lang w:val="en-US" w:eastAsia="zh-CN"/>
        </w:rPr>
        <w:t>包括</w:t>
      </w:r>
      <w:r>
        <w:rPr>
          <w:rFonts w:hint="default"/>
          <w:color w:val="auto"/>
          <w:lang w:val="en-US"/>
        </w:rPr>
        <w:t>上述楼宇空调系统改造的深化设计、设备材料采购、安装施工、系统调试及验收、质保期服务，以及图书馆吊扇、壁扇、落地扇的安装。</w:t>
      </w:r>
    </w:p>
    <w:p w14:paraId="52187A20">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bookmarkStart w:id="4" w:name="_Toc8150"/>
      <w:r>
        <w:rPr>
          <w:rFonts w:hint="default"/>
          <w:color w:val="auto"/>
          <w:lang w:val="en-US"/>
        </w:rPr>
        <w:t>二、系统功能要求</w:t>
      </w:r>
      <w:bookmarkEnd w:id="4"/>
      <w:bookmarkStart w:id="5" w:name="_Toc8024"/>
      <w:bookmarkEnd w:id="5"/>
    </w:p>
    <w:p w14:paraId="4B20C6EA">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1. 夏季系统满负荷试运转工况下室内温度达到设计要求，室温26℃±1℃（指制冷后室内平均温度，非面板设定值）；</w:t>
      </w:r>
    </w:p>
    <w:p w14:paraId="353DA181">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2. 过渡季具备辅助制热功能，满足室内舒适使用需求；</w:t>
      </w:r>
    </w:p>
    <w:p w14:paraId="2B0FBC70">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3. 系统运行安全、稳定，噪声满足使用环境要求。</w:t>
      </w:r>
    </w:p>
    <w:p w14:paraId="0B724A59">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bookmarkStart w:id="6" w:name="_Toc21095"/>
      <w:r>
        <w:rPr>
          <w:rFonts w:hint="default"/>
          <w:color w:val="auto"/>
          <w:lang w:val="en-US"/>
        </w:rPr>
        <w:t>三、深化设计要求及成果交付</w:t>
      </w:r>
      <w:bookmarkEnd w:id="6"/>
      <w:bookmarkStart w:id="7" w:name="_Toc8025"/>
      <w:bookmarkEnd w:id="7"/>
    </w:p>
    <w:p w14:paraId="3240C5B2">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1. 本项目采用“先深化设计、后投标报价”模式。招标人随本文件发布设计概算工程量清单（附件，另册）；投标人参加统一现场踏勘后，应围绕该概算清单界定的系统构成、建设内容及房间功能、面积、设计参数，结合原有建筑工况，自行完成全部深化设计（达到施工图深度），并依据深化设计成果按工程量清单综合单价方式编制投标报价。投标文件须同时包含深化设计成果和报价文件，二者内容必须一致，共同作为评标、定标、施工及结算依据。</w:t>
      </w:r>
    </w:p>
    <w:p w14:paraId="73881BC7">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eastAsia"/>
          <w:color w:val="auto"/>
          <w:lang w:val="en-US" w:eastAsia="zh-CN"/>
        </w:rPr>
        <w:t>2.</w:t>
      </w:r>
      <w:r>
        <w:rPr>
          <w:rFonts w:hint="default"/>
          <w:color w:val="auto"/>
          <w:lang w:val="en-US"/>
        </w:rPr>
        <w:t>深化设计应围绕招标人提供的设计概算工程量清单（附件，另册）展开：深化范围不超出概算清单界定的系统构成与建设内容；投标人结合现场踏勘及原有建筑工况深化施工图，内容涵盖空调内外机设备选型校核、冷媒及冷凝水管线优化排布、室外电源接驳、室内空调专用配电布设、管线综合避让优化设计等。确需对概算清单进行优化调整的，应在深化设计说明中逐项列明差异及理由。</w:t>
      </w:r>
    </w:p>
    <w:p w14:paraId="4A0955D2">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eastAsia"/>
          <w:color w:val="auto"/>
          <w:lang w:val="en-US" w:eastAsia="zh-CN"/>
        </w:rPr>
        <w:t>3.</w:t>
      </w:r>
      <w:r>
        <w:rPr>
          <w:rFonts w:hint="default"/>
          <w:color w:val="auto"/>
          <w:lang w:val="en-US"/>
        </w:rPr>
        <w:t xml:space="preserve"> 投标阶段提交的深化设计成果应达到施工图深度，包括以下各专业内容：</w:t>
      </w:r>
    </w:p>
    <w:p w14:paraId="7852AC9A">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（1）暖通空调专项设计：逐室负荷计算书、设备选型校核报告、系统原理图、平/立管布置图、管线排布图、设备安装大样及系统调试参数资料；</w:t>
      </w:r>
    </w:p>
    <w:p w14:paraId="4272DB72">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（2）低压配电专项设计：空调专用配电系统图、回路划分图、强弱电点位图、线缆敷设图、配电箱接线原理图、接地及安全防护设计图纸；</w:t>
      </w:r>
    </w:p>
    <w:p w14:paraId="22D706B0">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（3）室外管网线路专项设计：室外电力管网总图、电缆敷设施工图、管线防护覆土大样、室外接驳节点详图、内外系统对接图纸；</w:t>
      </w:r>
    </w:p>
    <w:p w14:paraId="7D62638F">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（4）装饰天花配套设计：结合空调设备、风口、检修口定位，出具天花综合排布图、设备开孔定位图、天花造型及装饰衔接大样图；</w:t>
      </w:r>
    </w:p>
    <w:p w14:paraId="09888647">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（5）造价清单成果：广联达全套工程量清单、预算文件、综合单价分析表、设备材料清单及取费汇总文件。</w:t>
      </w:r>
    </w:p>
    <w:p w14:paraId="18FB9817">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eastAsia"/>
          <w:color w:val="auto"/>
          <w:lang w:val="en-US" w:eastAsia="zh-CN"/>
        </w:rPr>
        <w:t>4.</w:t>
      </w:r>
      <w:r>
        <w:rPr>
          <w:rFonts w:hint="default"/>
          <w:color w:val="auto"/>
          <w:lang w:val="en-US"/>
        </w:rPr>
        <w:t>图纸一致性要求：投标时提交的深化图纸（未经设计院盖章）即为中标后盖章版深化施工图的唯一依据，二者必须保持一致。中标后提交的盖章版图纸与投标版不一致，擅自变更系统方案、设备选型或主要工程量的，按弄虚作假处理，取消中标资格（已签订合同的解除合同），列入学校供应商不良行为记录，并承担由此给招标人造成的全部损失。</w:t>
      </w:r>
    </w:p>
    <w:p w14:paraId="10B3FFAD">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eastAsia"/>
          <w:color w:val="auto"/>
          <w:lang w:val="en-US" w:eastAsia="zh-CN"/>
        </w:rPr>
        <w:t>5.</w:t>
      </w:r>
      <w:bookmarkStart w:id="20" w:name="_GoBack"/>
      <w:bookmarkEnd w:id="20"/>
      <w:r>
        <w:rPr>
          <w:rFonts w:hint="default"/>
          <w:color w:val="auto"/>
          <w:lang w:val="en-US"/>
        </w:rPr>
        <w:t>盖章版成果提交与审核（快速流程）：中标人应自中标通知书发出之日起5日历天内，提交委托具备建筑行业（建筑工程）设计资质单位完成的正式深化施工图（加盖设计院公章及注册公用设备工程师执业印章）及广联达清单成果；所有成果经</w:t>
      </w:r>
      <w:r>
        <w:rPr>
          <w:rFonts w:hint="default"/>
          <w:color w:val="auto"/>
          <w:lang w:val="en-US" w:eastAsia="zh-CN"/>
        </w:rPr>
        <w:t>招标人</w:t>
      </w:r>
      <w:r>
        <w:rPr>
          <w:rFonts w:hint="default"/>
          <w:color w:val="auto"/>
          <w:lang w:val="en-US"/>
        </w:rPr>
        <w:t>审核确认后方可实施；审核仅针对图纸技术性问题，不改变投标方案的实质性内容和投标报价；审核期间中标人可同步开展设备订货等施工准备工作。</w:t>
      </w:r>
    </w:p>
    <w:p w14:paraId="02294B20">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bookmarkStart w:id="8" w:name="_Toc29450"/>
      <w:r>
        <w:rPr>
          <w:rFonts w:hint="default"/>
          <w:color w:val="auto"/>
          <w:lang w:val="en-US"/>
        </w:rPr>
        <w:t>四、主要设备技术参数（硬性指标）</w:t>
      </w:r>
      <w:bookmarkEnd w:id="8"/>
      <w:bookmarkStart w:id="9" w:name="_Toc8026"/>
      <w:bookmarkEnd w:id="9"/>
    </w:p>
    <w:tbl>
      <w:tblPr>
        <w:tblStyle w:val="4"/>
        <w:tblW w:w="5000" w:type="pct"/>
        <w:tblInd w:w="0" w:type="dxa"/>
        <w:tblBorders>
          <w:top w:val="single" w:color="33424E" w:sz="8" w:space="0"/>
          <w:left w:val="single" w:color="C9C2B6" w:sz="4" w:space="0"/>
          <w:bottom w:val="single" w:color="33424E" w:sz="8" w:space="0"/>
          <w:right w:val="single" w:color="C9C2B6" w:sz="4" w:space="0"/>
          <w:insideH w:val="single" w:color="C9C2B6" w:sz="4" w:space="0"/>
          <w:insideV w:val="single" w:color="C9C2B6" w:sz="4" w:space="0"/>
        </w:tblBorders>
        <w:tblLayout w:type="autofit"/>
        <w:tblCellMar>
          <w:top w:w="0" w:type="dxa"/>
          <w:left w:w="10" w:type="dxa"/>
          <w:bottom w:w="0" w:type="dxa"/>
          <w:right w:w="10" w:type="dxa"/>
        </w:tblCellMar>
      </w:tblPr>
      <w:tblGrid>
        <w:gridCol w:w="1936"/>
        <w:gridCol w:w="3195"/>
        <w:gridCol w:w="3195"/>
      </w:tblGrid>
      <w:tr w14:paraId="559C1B0D">
        <w:tblPrEx>
          <w:tblBorders>
            <w:top w:val="single" w:color="33424E" w:sz="8" w:space="0"/>
            <w:left w:val="single" w:color="C9C2B6" w:sz="4" w:space="0"/>
            <w:bottom w:val="single" w:color="33424E" w:sz="8" w:space="0"/>
            <w:right w:val="single" w:color="C9C2B6" w:sz="4" w:space="0"/>
            <w:insideH w:val="single" w:color="C9C2B6" w:sz="4" w:space="0"/>
            <w:insideV w:val="single" w:color="C9C2B6" w:sz="4" w:space="0"/>
          </w:tblBorders>
          <w:tblCellMar>
            <w:top w:w="0" w:type="dxa"/>
            <w:left w:w="10" w:type="dxa"/>
            <w:bottom w:w="0" w:type="dxa"/>
            <w:right w:w="10" w:type="dxa"/>
          </w:tblCellMar>
        </w:tblPrEx>
        <w:trPr>
          <w:tblHeader/>
        </w:trPr>
        <w:tc>
          <w:tcPr>
            <w:tcW w:w="2200" w:type="dxa"/>
            <w:shd w:val="clear" w:color="auto" w:fill="EFEBE3"/>
            <w:vAlign w:val="center"/>
          </w:tcPr>
          <w:p w14:paraId="3A183997">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项目</w:t>
            </w:r>
          </w:p>
        </w:tc>
        <w:tc>
          <w:tcPr>
            <w:tcW w:w="3500" w:type="dxa"/>
            <w:shd w:val="clear" w:color="auto" w:fill="EFEBE3"/>
            <w:vAlign w:val="center"/>
          </w:tcPr>
          <w:p w14:paraId="34AFDAB1">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单体机</w:t>
            </w:r>
          </w:p>
        </w:tc>
        <w:tc>
          <w:tcPr>
            <w:tcW w:w="3500" w:type="dxa"/>
            <w:shd w:val="clear" w:color="auto" w:fill="EFEBE3"/>
            <w:vAlign w:val="center"/>
          </w:tcPr>
          <w:p w14:paraId="42D04EA5">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多联机</w:t>
            </w:r>
          </w:p>
        </w:tc>
      </w:tr>
      <w:tr w14:paraId="78176BD1">
        <w:tblPrEx>
          <w:tblBorders>
            <w:top w:val="single" w:color="33424E" w:sz="8" w:space="0"/>
            <w:left w:val="single" w:color="C9C2B6" w:sz="4" w:space="0"/>
            <w:bottom w:val="single" w:color="33424E" w:sz="8" w:space="0"/>
            <w:right w:val="single" w:color="C9C2B6" w:sz="4" w:space="0"/>
            <w:insideH w:val="single" w:color="C9C2B6" w:sz="4" w:space="0"/>
            <w:insideV w:val="single" w:color="C9C2B6" w:sz="4" w:space="0"/>
          </w:tblBorders>
          <w:tblCellMar>
            <w:top w:w="0" w:type="dxa"/>
            <w:left w:w="10" w:type="dxa"/>
            <w:bottom w:w="0" w:type="dxa"/>
            <w:right w:w="10" w:type="dxa"/>
          </w:tblCellMar>
        </w:tblPrEx>
        <w:tc>
          <w:tcPr>
            <w:tcW w:w="2200" w:type="dxa"/>
            <w:vAlign w:val="center"/>
          </w:tcPr>
          <w:p w14:paraId="70ACCF39">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能效等级</w:t>
            </w:r>
          </w:p>
        </w:tc>
        <w:tc>
          <w:tcPr>
            <w:tcW w:w="3500" w:type="dxa"/>
            <w:vAlign w:val="center"/>
          </w:tcPr>
          <w:p w14:paraId="1D96503F">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一级／二级</w:t>
            </w:r>
          </w:p>
        </w:tc>
        <w:tc>
          <w:tcPr>
            <w:tcW w:w="3500" w:type="dxa"/>
            <w:vAlign w:val="center"/>
          </w:tcPr>
          <w:p w14:paraId="0695DDCE">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一级</w:t>
            </w:r>
          </w:p>
        </w:tc>
      </w:tr>
      <w:tr w14:paraId="5A21F0A4">
        <w:tblPrEx>
          <w:tblBorders>
            <w:top w:val="single" w:color="33424E" w:sz="8" w:space="0"/>
            <w:left w:val="single" w:color="C9C2B6" w:sz="4" w:space="0"/>
            <w:bottom w:val="single" w:color="33424E" w:sz="8" w:space="0"/>
            <w:right w:val="single" w:color="C9C2B6" w:sz="4" w:space="0"/>
            <w:insideH w:val="single" w:color="C9C2B6" w:sz="4" w:space="0"/>
            <w:insideV w:val="single" w:color="C9C2B6" w:sz="4" w:space="0"/>
          </w:tblBorders>
          <w:tblCellMar>
            <w:top w:w="0" w:type="dxa"/>
            <w:left w:w="10" w:type="dxa"/>
            <w:bottom w:w="0" w:type="dxa"/>
            <w:right w:w="10" w:type="dxa"/>
          </w:tblCellMar>
        </w:tblPrEx>
        <w:tc>
          <w:tcPr>
            <w:tcW w:w="2200" w:type="dxa"/>
            <w:vAlign w:val="center"/>
          </w:tcPr>
          <w:p w14:paraId="51BF405B">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冷媒</w:t>
            </w:r>
          </w:p>
        </w:tc>
        <w:tc>
          <w:tcPr>
            <w:tcW w:w="3500" w:type="dxa"/>
            <w:vAlign w:val="center"/>
          </w:tcPr>
          <w:p w14:paraId="785E3360">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R410A／R32</w:t>
            </w:r>
          </w:p>
        </w:tc>
        <w:tc>
          <w:tcPr>
            <w:tcW w:w="3500" w:type="dxa"/>
            <w:vAlign w:val="center"/>
          </w:tcPr>
          <w:p w14:paraId="03EDA911">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R410A</w:t>
            </w:r>
          </w:p>
        </w:tc>
      </w:tr>
      <w:tr w14:paraId="53FAB685">
        <w:tblPrEx>
          <w:tblBorders>
            <w:top w:val="single" w:color="33424E" w:sz="8" w:space="0"/>
            <w:left w:val="single" w:color="C9C2B6" w:sz="4" w:space="0"/>
            <w:bottom w:val="single" w:color="33424E" w:sz="8" w:space="0"/>
            <w:right w:val="single" w:color="C9C2B6" w:sz="4" w:space="0"/>
            <w:insideH w:val="single" w:color="C9C2B6" w:sz="4" w:space="0"/>
            <w:insideV w:val="single" w:color="C9C2B6" w:sz="4" w:space="0"/>
          </w:tblBorders>
          <w:tblCellMar>
            <w:top w:w="0" w:type="dxa"/>
            <w:left w:w="10" w:type="dxa"/>
            <w:bottom w:w="0" w:type="dxa"/>
            <w:right w:w="10" w:type="dxa"/>
          </w:tblCellMar>
        </w:tblPrEx>
        <w:tc>
          <w:tcPr>
            <w:tcW w:w="2200" w:type="dxa"/>
            <w:vAlign w:val="center"/>
          </w:tcPr>
          <w:p w14:paraId="2311FB2D">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电源</w:t>
            </w:r>
          </w:p>
        </w:tc>
        <w:tc>
          <w:tcPr>
            <w:tcW w:w="3500" w:type="dxa"/>
            <w:vAlign w:val="center"/>
          </w:tcPr>
          <w:p w14:paraId="37B97920">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220V-50Hz</w:t>
            </w:r>
          </w:p>
        </w:tc>
        <w:tc>
          <w:tcPr>
            <w:tcW w:w="3500" w:type="dxa"/>
            <w:vAlign w:val="center"/>
          </w:tcPr>
          <w:p w14:paraId="5E56E34A">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380V 三相</w:t>
            </w:r>
          </w:p>
        </w:tc>
      </w:tr>
      <w:tr w14:paraId="7C2387B5">
        <w:tblPrEx>
          <w:tblBorders>
            <w:top w:val="single" w:color="33424E" w:sz="8" w:space="0"/>
            <w:left w:val="single" w:color="C9C2B6" w:sz="4" w:space="0"/>
            <w:bottom w:val="single" w:color="33424E" w:sz="8" w:space="0"/>
            <w:right w:val="single" w:color="C9C2B6" w:sz="4" w:space="0"/>
            <w:insideH w:val="single" w:color="C9C2B6" w:sz="4" w:space="0"/>
            <w:insideV w:val="single" w:color="C9C2B6" w:sz="4" w:space="0"/>
          </w:tblBorders>
          <w:tblCellMar>
            <w:top w:w="0" w:type="dxa"/>
            <w:left w:w="10" w:type="dxa"/>
            <w:bottom w:w="0" w:type="dxa"/>
            <w:right w:w="10" w:type="dxa"/>
          </w:tblCellMar>
        </w:tblPrEx>
        <w:tc>
          <w:tcPr>
            <w:tcW w:w="2200" w:type="dxa"/>
            <w:vAlign w:val="center"/>
          </w:tcPr>
          <w:p w14:paraId="2EAD267B">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压缩机</w:t>
            </w:r>
          </w:p>
        </w:tc>
        <w:tc>
          <w:tcPr>
            <w:tcW w:w="3500" w:type="dxa"/>
            <w:vAlign w:val="center"/>
          </w:tcPr>
          <w:p w14:paraId="32246048">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全直流变频</w:t>
            </w:r>
          </w:p>
        </w:tc>
        <w:tc>
          <w:tcPr>
            <w:tcW w:w="3500" w:type="dxa"/>
            <w:vAlign w:val="center"/>
          </w:tcPr>
          <w:p w14:paraId="7E11171F">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全直流变频</w:t>
            </w:r>
          </w:p>
        </w:tc>
      </w:tr>
      <w:tr w14:paraId="429E7676">
        <w:tblPrEx>
          <w:tblBorders>
            <w:top w:val="single" w:color="33424E" w:sz="8" w:space="0"/>
            <w:left w:val="single" w:color="C9C2B6" w:sz="4" w:space="0"/>
            <w:bottom w:val="single" w:color="33424E" w:sz="8" w:space="0"/>
            <w:right w:val="single" w:color="C9C2B6" w:sz="4" w:space="0"/>
            <w:insideH w:val="single" w:color="C9C2B6" w:sz="4" w:space="0"/>
            <w:insideV w:val="single" w:color="C9C2B6" w:sz="4" w:space="0"/>
          </w:tblBorders>
          <w:tblCellMar>
            <w:top w:w="0" w:type="dxa"/>
            <w:left w:w="10" w:type="dxa"/>
            <w:bottom w:w="0" w:type="dxa"/>
            <w:right w:w="10" w:type="dxa"/>
          </w:tblCellMar>
        </w:tblPrEx>
        <w:tc>
          <w:tcPr>
            <w:tcW w:w="2200" w:type="dxa"/>
            <w:vAlign w:val="center"/>
          </w:tcPr>
          <w:p w14:paraId="507EA181">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外机噪声</w:t>
            </w:r>
          </w:p>
        </w:tc>
        <w:tc>
          <w:tcPr>
            <w:tcW w:w="3500" w:type="dxa"/>
            <w:vAlign w:val="center"/>
          </w:tcPr>
          <w:p w14:paraId="5EFA530D">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≤54-58dB(A)</w:t>
            </w:r>
          </w:p>
        </w:tc>
        <w:tc>
          <w:tcPr>
            <w:tcW w:w="3500" w:type="dxa"/>
            <w:vAlign w:val="center"/>
          </w:tcPr>
          <w:p w14:paraId="69A01D20">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≤54-66dB(A)（采取合理降噪措施）</w:t>
            </w:r>
          </w:p>
        </w:tc>
      </w:tr>
      <w:tr w14:paraId="4066C9AA">
        <w:tblPrEx>
          <w:tblBorders>
            <w:top w:val="single" w:color="33424E" w:sz="8" w:space="0"/>
            <w:left w:val="single" w:color="C9C2B6" w:sz="4" w:space="0"/>
            <w:bottom w:val="single" w:color="33424E" w:sz="8" w:space="0"/>
            <w:right w:val="single" w:color="C9C2B6" w:sz="4" w:space="0"/>
            <w:insideH w:val="single" w:color="C9C2B6" w:sz="4" w:space="0"/>
            <w:insideV w:val="single" w:color="C9C2B6" w:sz="4" w:space="0"/>
          </w:tblBorders>
          <w:tblCellMar>
            <w:top w:w="0" w:type="dxa"/>
            <w:left w:w="10" w:type="dxa"/>
            <w:bottom w:w="0" w:type="dxa"/>
            <w:right w:w="10" w:type="dxa"/>
          </w:tblCellMar>
        </w:tblPrEx>
        <w:tc>
          <w:tcPr>
            <w:tcW w:w="2200" w:type="dxa"/>
            <w:vAlign w:val="center"/>
          </w:tcPr>
          <w:p w14:paraId="26756CD7">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保护功能</w:t>
            </w:r>
          </w:p>
        </w:tc>
        <w:tc>
          <w:tcPr>
            <w:tcW w:w="3500" w:type="dxa"/>
            <w:vAlign w:val="center"/>
          </w:tcPr>
          <w:p w14:paraId="41DBCC64">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压缩机三分钟延时启动、过流、过压、高低压、防冻、故障自诊断等</w:t>
            </w:r>
          </w:p>
        </w:tc>
        <w:tc>
          <w:tcPr>
            <w:tcW w:w="3500" w:type="dxa"/>
            <w:vAlign w:val="center"/>
          </w:tcPr>
          <w:p w14:paraId="3F7E9FA4">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压缩机三分钟延时启动、过流、过压、高低压、防冻、故障自诊断等</w:t>
            </w:r>
          </w:p>
        </w:tc>
      </w:tr>
      <w:tr w14:paraId="3BAB13BA">
        <w:tblPrEx>
          <w:tblBorders>
            <w:top w:val="single" w:color="33424E" w:sz="8" w:space="0"/>
            <w:left w:val="single" w:color="C9C2B6" w:sz="4" w:space="0"/>
            <w:bottom w:val="single" w:color="33424E" w:sz="8" w:space="0"/>
            <w:right w:val="single" w:color="C9C2B6" w:sz="4" w:space="0"/>
            <w:insideH w:val="single" w:color="C9C2B6" w:sz="4" w:space="0"/>
            <w:insideV w:val="single" w:color="C9C2B6" w:sz="4" w:space="0"/>
          </w:tblBorders>
          <w:tblCellMar>
            <w:top w:w="0" w:type="dxa"/>
            <w:left w:w="10" w:type="dxa"/>
            <w:bottom w:w="0" w:type="dxa"/>
            <w:right w:w="10" w:type="dxa"/>
          </w:tblCellMar>
        </w:tblPrEx>
        <w:tc>
          <w:tcPr>
            <w:tcW w:w="2200" w:type="dxa"/>
            <w:vAlign w:val="center"/>
          </w:tcPr>
          <w:p w14:paraId="4CB9875F">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外机结构</w:t>
            </w:r>
          </w:p>
        </w:tc>
        <w:tc>
          <w:tcPr>
            <w:tcW w:w="3500" w:type="dxa"/>
            <w:vAlign w:val="center"/>
          </w:tcPr>
          <w:p w14:paraId="3572677F">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底座带排水孔；落地／支架安装，配减震垫</w:t>
            </w:r>
          </w:p>
        </w:tc>
        <w:tc>
          <w:tcPr>
            <w:tcW w:w="3500" w:type="dxa"/>
            <w:vAlign w:val="center"/>
          </w:tcPr>
          <w:p w14:paraId="7B16665E">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底座带排水孔；落地／支架安装，配减震垫</w:t>
            </w:r>
          </w:p>
        </w:tc>
      </w:tr>
    </w:tbl>
    <w:p w14:paraId="562A730F">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上述指标为实质性要求，不满足的作无效投标处理。</w:t>
      </w:r>
    </w:p>
    <w:p w14:paraId="1F3CC7BA">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bookmarkStart w:id="10" w:name="_Toc3723"/>
      <w:r>
        <w:rPr>
          <w:rFonts w:hint="default"/>
          <w:color w:val="auto"/>
          <w:lang w:val="en-US"/>
        </w:rPr>
        <w:t>五、设备品牌要求</w:t>
      </w:r>
      <w:bookmarkEnd w:id="10"/>
      <w:bookmarkStart w:id="11" w:name="_Toc8027"/>
      <w:bookmarkEnd w:id="11"/>
    </w:p>
    <w:p w14:paraId="4AF6A86D">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空调设备参考品牌为：大金、日立、松下，格力、美的、海尔、海信；投标人可选择上述品牌，或选择不低于上述品牌同档次的其他品牌。所选品牌及型号须在设备选型响应表中明确填报，并附能效、噪声等参数证明文件。设备档次须与招标控制价水平相匹配。</w:t>
      </w:r>
    </w:p>
    <w:p w14:paraId="029B245F">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bookmarkStart w:id="12" w:name="_Toc4215"/>
      <w:r>
        <w:rPr>
          <w:rFonts w:hint="default"/>
          <w:color w:val="auto"/>
          <w:lang w:val="en-US"/>
        </w:rPr>
        <w:t>六、计价编制依据</w:t>
      </w:r>
      <w:bookmarkEnd w:id="12"/>
      <w:bookmarkStart w:id="13" w:name="_Toc8028"/>
      <w:bookmarkEnd w:id="13"/>
    </w:p>
    <w:p w14:paraId="20DDE647">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1. 《建设工程工程量清单计价标准》GB 50500-2024；</w:t>
      </w:r>
    </w:p>
    <w:p w14:paraId="41BDE83C">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2. 《辽宁省2024版安装工程计价定额》；</w:t>
      </w:r>
    </w:p>
    <w:p w14:paraId="7BDD3E3B">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3. 《辽宁省建设工程费用标准》；</w:t>
      </w:r>
    </w:p>
    <w:p w14:paraId="3AAE9570">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4. 辽宁省住建厅现行调价、取费、规费税金等相关政策文件。</w:t>
      </w:r>
    </w:p>
    <w:p w14:paraId="1068ECE8">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所有造价成果以招标人审核调整版本作为施工、计价及结算依据。</w:t>
      </w:r>
    </w:p>
    <w:p w14:paraId="4FCC1CBF">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bookmarkStart w:id="14" w:name="_Toc26457"/>
      <w:r>
        <w:rPr>
          <w:rFonts w:hint="default"/>
          <w:color w:val="auto"/>
          <w:lang w:val="en-US"/>
        </w:rPr>
        <w:t>七、技术及验收标准</w:t>
      </w:r>
      <w:bookmarkEnd w:id="14"/>
      <w:bookmarkStart w:id="15" w:name="_Toc8029"/>
      <w:bookmarkEnd w:id="15"/>
    </w:p>
    <w:p w14:paraId="26259D54">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本项目设计、施工及验收执行以下标准（包括但不限于）：</w:t>
      </w:r>
    </w:p>
    <w:p w14:paraId="1F11204D">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eastAsia="zh-CN"/>
        </w:rPr>
      </w:pPr>
      <w:r>
        <w:rPr>
          <w:rFonts w:hint="default"/>
          <w:color w:val="auto"/>
          <w:lang w:val="en-US" w:eastAsia="zh-CN"/>
        </w:rPr>
        <w:t>1《建筑电气与智能化通用规范》GB 55024‑2022</w:t>
      </w:r>
    </w:p>
    <w:p w14:paraId="5B54C2D0">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eastAsia="zh-CN"/>
        </w:rPr>
      </w:pPr>
      <w:r>
        <w:rPr>
          <w:rFonts w:hint="default"/>
          <w:color w:val="auto"/>
          <w:lang w:val="en-US" w:eastAsia="zh-CN"/>
        </w:rPr>
        <w:t>2.《建筑电气工程施工质量验收规范》GB 50303‑2015</w:t>
      </w:r>
    </w:p>
    <w:p w14:paraId="7C6553A9">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eastAsia="zh-CN"/>
        </w:rPr>
      </w:pPr>
      <w:r>
        <w:rPr>
          <w:rFonts w:hint="default"/>
          <w:color w:val="auto"/>
          <w:lang w:val="en-US" w:eastAsia="zh-CN"/>
        </w:rPr>
        <w:t>3.《民用建筑电气设计标准》GB 51348‑2019</w:t>
      </w:r>
    </w:p>
    <w:p w14:paraId="47CB7F52">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eastAsia="zh-CN"/>
        </w:rPr>
      </w:pPr>
      <w:r>
        <w:rPr>
          <w:rFonts w:hint="default"/>
          <w:color w:val="auto"/>
          <w:lang w:val="en-US" w:eastAsia="zh-CN"/>
        </w:rPr>
        <w:t>4《电气装置安装工程 电气设备交接试验标准》GB 50150‑2016</w:t>
      </w:r>
    </w:p>
    <w:p w14:paraId="3B199C40">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eastAsia="zh-CN"/>
        </w:rPr>
      </w:pPr>
      <w:r>
        <w:rPr>
          <w:rFonts w:hint="default"/>
          <w:color w:val="auto"/>
          <w:lang w:val="en-US" w:eastAsia="zh-CN"/>
        </w:rPr>
        <w:t>5《电气装置安装工程 电缆线路施工及验收标准》GB 50168‑2018</w:t>
      </w:r>
    </w:p>
    <w:p w14:paraId="7F3FEA10">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eastAsia="zh-CN"/>
        </w:rPr>
      </w:pPr>
      <w:r>
        <w:rPr>
          <w:rFonts w:hint="default"/>
          <w:color w:val="auto"/>
          <w:lang w:val="en-US" w:eastAsia="zh-CN"/>
        </w:rPr>
        <w:t>6《通风与空调工程施工规范》GB 50738‑2011</w:t>
      </w:r>
    </w:p>
    <w:p w14:paraId="00CEBE70">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eastAsia="zh-CN"/>
        </w:rPr>
      </w:pPr>
      <w:r>
        <w:rPr>
          <w:rFonts w:hint="default"/>
          <w:color w:val="auto"/>
          <w:lang w:val="en-US" w:eastAsia="zh-CN"/>
        </w:rPr>
        <w:t>7《通风与空调工程施工质量验收规范》GB 50243‑2016</w:t>
      </w:r>
    </w:p>
    <w:p w14:paraId="56AB5152">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eastAsia="zh-CN"/>
        </w:rPr>
      </w:pPr>
      <w:r>
        <w:rPr>
          <w:rFonts w:hint="default"/>
          <w:color w:val="auto"/>
          <w:lang w:val="en-US" w:eastAsia="zh-CN"/>
        </w:rPr>
        <w:t>8 GB 50210‑2018《建筑装饰装修工程质量验收标准》</w:t>
      </w:r>
    </w:p>
    <w:p w14:paraId="1A89D7CB">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eastAsia="zh-CN"/>
        </w:rPr>
      </w:pPr>
      <w:r>
        <w:rPr>
          <w:rFonts w:hint="default"/>
          <w:color w:val="auto"/>
          <w:lang w:val="en-US" w:eastAsia="zh-CN"/>
        </w:rPr>
        <w:t>9.GB 50210-2018《建筑装饰装修工程质量验收标准》（装饰总规范）</w:t>
      </w:r>
    </w:p>
    <w:p w14:paraId="232E7DA8">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eastAsia="zh-CN"/>
        </w:rPr>
      </w:pPr>
      <w:r>
        <w:rPr>
          <w:rFonts w:hint="default"/>
          <w:color w:val="auto"/>
          <w:lang w:val="en-US" w:eastAsia="zh-CN"/>
        </w:rPr>
        <w:t>10. GB 50327-2001《住宅装饰装修工程施工规范》（家装/室内精装专用）</w:t>
      </w:r>
    </w:p>
    <w:p w14:paraId="5DAC9E20">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eastAsia="zh-CN"/>
        </w:rPr>
      </w:pPr>
      <w:r>
        <w:rPr>
          <w:rFonts w:hint="default"/>
          <w:color w:val="auto"/>
          <w:lang w:val="en-US" w:eastAsia="zh-CN"/>
        </w:rPr>
        <w:t>11. 《建筑节能与可再生能源利用通用规范》GB 55015‑2021</w:t>
      </w:r>
    </w:p>
    <w:p w14:paraId="19D0BE1B">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eastAsia="zh-CN"/>
        </w:rPr>
      </w:pPr>
      <w:r>
        <w:rPr>
          <w:rFonts w:hint="default"/>
          <w:color w:val="auto"/>
          <w:lang w:val="en-US" w:eastAsia="zh-CN"/>
        </w:rPr>
        <w:t>GB 21455 房间空调器能效 GB 21454 多联机能效 GB 4706 系列 空调安全</w:t>
      </w:r>
    </w:p>
    <w:p w14:paraId="14089E17">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竣工验收还须满足设计要求及使用部门要求：系统满负荷试运转工况下室内温度达到设计要求（26℃±1℃）。</w:t>
      </w:r>
      <w:r>
        <w:rPr>
          <w:rFonts w:hint="default"/>
          <w:color w:val="auto"/>
          <w:lang w:val="en-US" w:eastAsia="zh-CN"/>
        </w:rPr>
        <w:t>GB 55024-2022《建筑电气与智能化通用规范》（全文强制性）</w:t>
      </w:r>
    </w:p>
    <w:p w14:paraId="4650FFEC">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bookmarkStart w:id="16" w:name="_Toc32497"/>
      <w:r>
        <w:rPr>
          <w:rFonts w:hint="default"/>
          <w:color w:val="auto"/>
          <w:lang w:val="en-US"/>
        </w:rPr>
        <w:t>八、施工组织及现场要求</w:t>
      </w:r>
      <w:bookmarkEnd w:id="16"/>
      <w:bookmarkStart w:id="17" w:name="_Toc8030"/>
      <w:bookmarkEnd w:id="17"/>
    </w:p>
    <w:p w14:paraId="69552661">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1. 计划工期25日历天。投标人应在施工组织设计中以甘特图明确设备到货日期、供配电完成日期、试运行调试日期等关键节点；</w:t>
      </w:r>
    </w:p>
    <w:p w14:paraId="7CC6A802">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2. 施工阶段根据学校内活动安排错峰施工；校内举行活动期间的安全文明施工、道路封闭、围挡等措施由投标人自行考虑并包含在报价内，因此造成的工期延误经招标人书面确认后相应顺延；</w:t>
      </w:r>
    </w:p>
    <w:p w14:paraId="44A4C27B">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3. 施工期间应保障各楼宇正常教学、办公秩序，做好成品保护、垃圾清运、现场围挡及师生通行疏导；</w:t>
      </w:r>
    </w:p>
    <w:p w14:paraId="0D5F78EC">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4. 变更与签证按学校制度执行。</w:t>
      </w:r>
    </w:p>
    <w:p w14:paraId="13ABBC15">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bookmarkStart w:id="18" w:name="_Toc3302"/>
      <w:r>
        <w:rPr>
          <w:rFonts w:hint="default"/>
          <w:color w:val="auto"/>
          <w:lang w:val="en-US"/>
        </w:rPr>
        <w:t>九、主要合同条件</w:t>
      </w:r>
      <w:bookmarkEnd w:id="18"/>
      <w:bookmarkStart w:id="19" w:name="_Toc8031"/>
      <w:bookmarkEnd w:id="19"/>
    </w:p>
    <w:p w14:paraId="768D04F0">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1. 承包范围与合同形式：承包范围为行政楼、食堂二楼、1#2#教学楼空调系统改造的深化设计、设备材料采购、安装施工、调试验收及质保期服务，图书馆风扇安装；具体以经招标人审核确认的深化施工图及工程量清单为准。合同形式为固定综合单价合同：综合单价包干、工程量按实结算，投标总价为合同封顶价，除招标人书面确认的设计变更外，不因深化设计调整而增加合同价款。</w:t>
      </w:r>
    </w:p>
    <w:p w14:paraId="0BDBC02B">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2. 工期：计划工期25日历天，具体开竣工时间以合同约定为准；设备到货、供配电完成、试运行调试等关键节点按经招标人确认的施工组织设计甘特图执行。因招标人原因或不可抗力造成延误的，工期相应顺延。</w:t>
      </w:r>
    </w:p>
    <w:p w14:paraId="66FB095A">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3. 深化设计义务：中标人按本章第三条第4款规定的快速流程提交盖章版深化成果，经招标人审核确认后方可施工；深化设计不增加合同价款；盖章版成果与投标版深化成果必须一致。</w:t>
      </w:r>
    </w:p>
    <w:p w14:paraId="25BA0D1F">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4. 质量标准与验收：工程质量标准为合格，执行本章第七条所列技术标准；竣工验收须满足系统满负荷试运转工况下室内温度达到设计要求（26℃±1℃）。隐蔽工程须经发包人签批书面验收合格报告后方可覆盖。</w:t>
      </w:r>
    </w:p>
    <w:p w14:paraId="012E9C0C">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5. 付款条件及质保金：（1）预付款：合同价款的20%，在合同签订后且承包人主要人员及相关材料进场后（以承包人书面申请为准）支付；（2）进度款：隐蔽工程验收后（须有发包方签批的隐蔽工程书面验收合格报告），支付合同价款的30%；（3）竣工款：工程竣工验收合格后（须有发包方签批的书面工程竣工验收合格报告），支付合同价款的30%；（4）结算款：合同内尾款及所有涉及款项结算的签证经甲方结算部门结算审定后，付至结算定案金额的95%；（5）质量保修金：预留结算定案金额的5%作为质量保修金，质保期满且无质量问题的无息返还；承包方收到质量保修金后并不免除超过保修期限的其他项目的保修责任。</w:t>
      </w:r>
    </w:p>
    <w:p w14:paraId="640777FE">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default"/>
          <w:color w:val="auto"/>
          <w:lang w:val="en-US"/>
        </w:rPr>
        <w:t>6. 质保：工程质保期2年、设备质保期2年，自竣工验收合格之日起算。质保期内出现质量问题的，承包人应无条件免费维修或更换。</w:t>
      </w:r>
    </w:p>
    <w:p w14:paraId="4E7F2BA7">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91C98"/>
    <w:rsid w:val="1DAA0C41"/>
    <w:rsid w:val="20EA3A5F"/>
    <w:rsid w:val="23FA2218"/>
    <w:rsid w:val="2CCA1437"/>
    <w:rsid w:val="33DF20EB"/>
    <w:rsid w:val="3C653FC1"/>
    <w:rsid w:val="464707A6"/>
    <w:rsid w:val="46AB33FF"/>
    <w:rsid w:val="4B022A04"/>
    <w:rsid w:val="51EE2C1B"/>
    <w:rsid w:val="681F5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00" w:line="360" w:lineRule="auto"/>
      <w:ind w:firstLine="480"/>
    </w:pPr>
    <w:rPr>
      <w:rFonts w:ascii="Times New Roman" w:hAnsi="Times New Roman" w:eastAsia="宋体" w:cs="Times New Roman"/>
      <w:color w:val="262626"/>
      <w:sz w:val="24"/>
      <w:szCs w:val="22"/>
    </w:rPr>
  </w:style>
  <w:style w:type="paragraph" w:styleId="2">
    <w:name w:val="heading 1"/>
    <w:basedOn w:val="1"/>
    <w:next w:val="1"/>
    <w:qFormat/>
    <w:uiPriority w:val="0"/>
    <w:pPr>
      <w:keepNext/>
      <w:keepLines/>
      <w:spacing w:before="360" w:after="300"/>
      <w:ind w:firstLine="0"/>
      <w:jc w:val="center"/>
      <w:outlineLvl w:val="0"/>
    </w:pPr>
    <w:rPr>
      <w:rFonts w:ascii="Times New Roman" w:hAnsi="Times New Roman" w:eastAsia="黑体"/>
      <w:b/>
      <w:color w:val="33424E"/>
      <w:sz w:val="32"/>
    </w:rPr>
  </w:style>
  <w:style w:type="paragraph" w:styleId="3">
    <w:name w:val="heading 2"/>
    <w:basedOn w:val="1"/>
    <w:qFormat/>
    <w:uiPriority w:val="0"/>
    <w:pPr>
      <w:keepNext/>
      <w:keepLines/>
      <w:spacing w:before="280" w:after="160"/>
      <w:ind w:firstLine="0"/>
      <w:outlineLvl w:val="1"/>
    </w:pPr>
    <w:rPr>
      <w:rFonts w:ascii="Times New Roman" w:hAnsi="Times New Roman" w:eastAsia="黑体"/>
      <w:b/>
      <w:color w:val="33424E"/>
      <w:sz w:val="2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3018</Words>
  <Characters>3325</Characters>
  <Lines>0</Lines>
  <Paragraphs>0</Paragraphs>
  <TotalTime>0</TotalTime>
  <ScaleCrop>false</ScaleCrop>
  <LinksUpToDate>false</LinksUpToDate>
  <CharactersWithSpaces>3375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2026-08-08T18:36:00Z</dcterms:created>
  <dc:creator>28721</dc:creator>
  <cp:lastModifiedBy>RO</cp:lastModifiedBy>
  <dcterms:modified xsi:type="dcterms:W3CDTF">2026-08-14T06:42:06Z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eyJoZGlkIjoiN2EzZjdmN2ZiZDE5ZWE0MGNkYjY0YWM4OGRkNDAyOGIiLCJ1c2VySWQiOiIxODE4NDg4NDI1In0=</vt:lpwstr>
  </property>
  <property fmtid="{D5CDD505-2E9C-101B-9397-08002B2CF9AE}" pid="4" name="ICV">
    <vt:lpwstr>42D4EB391F334E1DA0D855C5BC5EE1CB_12</vt:lpwstr>
  </property>
</Properties>
</file>